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5B" w:rsidRPr="0087676C" w:rsidRDefault="00241E5B" w:rsidP="00803677">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87676C">
        <w:rPr>
          <w:rFonts w:ascii="Times New Roman" w:eastAsia="Times New Roman" w:hAnsi="Times New Roman" w:cs="Times New Roman"/>
          <w:sz w:val="24"/>
          <w:szCs w:val="24"/>
          <w:lang w:eastAsia="ru-RU"/>
        </w:rPr>
        <w:t xml:space="preserve">Приложение </w:t>
      </w:r>
    </w:p>
    <w:p w:rsidR="00241E5B" w:rsidRPr="0087676C" w:rsidRDefault="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87676C">
        <w:rPr>
          <w:rFonts w:ascii="Times New Roman" w:eastAsia="Times New Roman" w:hAnsi="Times New Roman" w:cs="Times New Roman"/>
          <w:sz w:val="24"/>
          <w:szCs w:val="24"/>
          <w:lang w:eastAsia="ru-RU"/>
        </w:rPr>
        <w:t xml:space="preserve">к письму ФНС России </w:t>
      </w:r>
    </w:p>
    <w:p w:rsidR="00241E5B" w:rsidRPr="0087676C" w:rsidRDefault="00DF4FA8">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87676C">
        <w:rPr>
          <w:rFonts w:ascii="Times New Roman" w:eastAsia="Times New Roman" w:hAnsi="Times New Roman" w:cs="Times New Roman"/>
          <w:sz w:val="24"/>
          <w:szCs w:val="24"/>
          <w:lang w:eastAsia="ru-RU"/>
        </w:rPr>
        <w:t xml:space="preserve">от </w:t>
      </w:r>
      <w:proofErr w:type="gramStart"/>
      <w:r w:rsidRPr="0087676C">
        <w:rPr>
          <w:rFonts w:ascii="Times New Roman" w:eastAsia="Times New Roman" w:hAnsi="Times New Roman" w:cs="Times New Roman"/>
          <w:sz w:val="24"/>
          <w:szCs w:val="24"/>
          <w:lang w:eastAsia="ru-RU"/>
        </w:rPr>
        <w:t>«</w:t>
      </w:r>
      <w:r w:rsidR="0087676C">
        <w:rPr>
          <w:rFonts w:ascii="Times New Roman" w:eastAsia="Times New Roman" w:hAnsi="Times New Roman" w:cs="Times New Roman"/>
          <w:sz w:val="24"/>
          <w:szCs w:val="24"/>
          <w:lang w:eastAsia="ru-RU"/>
        </w:rPr>
        <w:t xml:space="preserve"> 07</w:t>
      </w:r>
      <w:proofErr w:type="gramEnd"/>
      <w:r w:rsidR="0087676C">
        <w:rPr>
          <w:rFonts w:ascii="Times New Roman" w:eastAsia="Times New Roman" w:hAnsi="Times New Roman" w:cs="Times New Roman"/>
          <w:sz w:val="24"/>
          <w:szCs w:val="24"/>
          <w:lang w:eastAsia="ru-RU"/>
        </w:rPr>
        <w:t xml:space="preserve"> </w:t>
      </w:r>
      <w:r w:rsidRPr="0087676C">
        <w:rPr>
          <w:rFonts w:ascii="Times New Roman" w:eastAsia="Times New Roman" w:hAnsi="Times New Roman" w:cs="Times New Roman"/>
          <w:sz w:val="24"/>
          <w:szCs w:val="24"/>
          <w:lang w:eastAsia="ru-RU"/>
        </w:rPr>
        <w:t xml:space="preserve">» </w:t>
      </w:r>
      <w:r w:rsidR="0087676C">
        <w:rPr>
          <w:rFonts w:ascii="Times New Roman" w:eastAsia="Times New Roman" w:hAnsi="Times New Roman" w:cs="Times New Roman"/>
          <w:sz w:val="24"/>
          <w:szCs w:val="24"/>
          <w:lang w:eastAsia="ru-RU"/>
        </w:rPr>
        <w:t>февраля</w:t>
      </w:r>
      <w:r w:rsidRPr="0087676C">
        <w:rPr>
          <w:rFonts w:ascii="Times New Roman" w:eastAsia="Times New Roman" w:hAnsi="Times New Roman" w:cs="Times New Roman"/>
          <w:sz w:val="24"/>
          <w:szCs w:val="24"/>
          <w:lang w:eastAsia="ru-RU"/>
        </w:rPr>
        <w:t xml:space="preserve"> 2024</w:t>
      </w:r>
      <w:r w:rsidR="00241E5B" w:rsidRPr="0087676C">
        <w:rPr>
          <w:rFonts w:ascii="Times New Roman" w:eastAsia="Times New Roman" w:hAnsi="Times New Roman" w:cs="Times New Roman"/>
          <w:sz w:val="24"/>
          <w:szCs w:val="24"/>
          <w:lang w:eastAsia="ru-RU"/>
        </w:rPr>
        <w:t xml:space="preserve"> г. </w:t>
      </w:r>
    </w:p>
    <w:p w:rsidR="00241E5B" w:rsidRPr="00F00CED" w:rsidRDefault="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87676C">
        <w:rPr>
          <w:rFonts w:ascii="Times New Roman" w:eastAsia="Times New Roman" w:hAnsi="Times New Roman" w:cs="Times New Roman"/>
          <w:sz w:val="24"/>
          <w:szCs w:val="24"/>
          <w:lang w:eastAsia="ru-RU"/>
        </w:rPr>
        <w:t xml:space="preserve">№ </w:t>
      </w:r>
      <w:r w:rsidR="0087676C">
        <w:rPr>
          <w:rFonts w:ascii="Times New Roman" w:eastAsia="Times New Roman" w:hAnsi="Times New Roman" w:cs="Times New Roman"/>
          <w:sz w:val="24"/>
          <w:szCs w:val="24"/>
          <w:lang w:eastAsia="ru-RU"/>
        </w:rPr>
        <w:t>БС-4-21/1311</w:t>
      </w:r>
      <w:r w:rsidR="0087676C">
        <w:rPr>
          <w:rFonts w:ascii="Times New Roman" w:eastAsia="Times New Roman" w:hAnsi="Times New Roman" w:cs="Times New Roman"/>
          <w:sz w:val="24"/>
          <w:szCs w:val="24"/>
          <w:lang w:val="en-US" w:eastAsia="ru-RU"/>
        </w:rPr>
        <w:t>@</w:t>
      </w:r>
    </w:p>
    <w:p w:rsidR="00241E5B" w:rsidRPr="00F00CED" w:rsidRDefault="000F6CEE" w:rsidP="0087676C">
      <w:pPr>
        <w:tabs>
          <w:tab w:val="left" w:pos="8355"/>
        </w:tabs>
        <w:autoSpaceDE w:val="0"/>
        <w:autoSpaceDN w:val="0"/>
        <w:adjustRightInd w:val="0"/>
        <w:spacing w:after="0" w:line="340" w:lineRule="atLeast"/>
        <w:ind w:firstLine="708"/>
        <w:jc w:val="both"/>
        <w:rPr>
          <w:rFonts w:ascii="Times New Roman" w:eastAsia="Times New Roman" w:hAnsi="Times New Roman" w:cs="Times New Roman"/>
          <w:sz w:val="28"/>
          <w:szCs w:val="28"/>
          <w:lang w:eastAsia="ru-RU"/>
        </w:rPr>
      </w:pPr>
      <w:r w:rsidRPr="00F00CED">
        <w:rPr>
          <w:rFonts w:ascii="Times New Roman" w:eastAsia="Times New Roman" w:hAnsi="Times New Roman" w:cs="Times New Roman"/>
          <w:sz w:val="28"/>
          <w:szCs w:val="28"/>
          <w:lang w:eastAsia="ru-RU"/>
        </w:rPr>
        <w:tab/>
      </w:r>
    </w:p>
    <w:p w:rsidR="00355CA6" w:rsidRPr="00F00CED" w:rsidRDefault="00D04FC9" w:rsidP="0087676C">
      <w:pPr>
        <w:pStyle w:val="Default"/>
        <w:spacing w:line="340" w:lineRule="atLeast"/>
        <w:ind w:firstLine="567"/>
        <w:jc w:val="both"/>
        <w:rPr>
          <w:b/>
          <w:sz w:val="28"/>
          <w:szCs w:val="28"/>
        </w:rPr>
      </w:pPr>
      <w:bookmarkStart w:id="0" w:name="_GoBack"/>
      <w:r w:rsidRPr="00F00CED">
        <w:rPr>
          <w:b/>
          <w:sz w:val="28"/>
          <w:szCs w:val="28"/>
        </w:rPr>
        <w:t xml:space="preserve">Обзор определяющей судебной практики </w:t>
      </w:r>
      <w:bookmarkEnd w:id="0"/>
      <w:r w:rsidR="00D276D2" w:rsidRPr="00F00CED">
        <w:rPr>
          <w:b/>
          <w:sz w:val="28"/>
          <w:szCs w:val="28"/>
        </w:rPr>
        <w:t xml:space="preserve">Верховного Суда Российской Федерации </w:t>
      </w:r>
      <w:r w:rsidR="002E7F4E" w:rsidRPr="00F00CED">
        <w:rPr>
          <w:b/>
          <w:snapToGrid w:val="0"/>
          <w:sz w:val="28"/>
          <w:szCs w:val="28"/>
        </w:rPr>
        <w:t>по спорам, завершенным в</w:t>
      </w:r>
      <w:r w:rsidR="00D276D2" w:rsidRPr="00F00CED">
        <w:rPr>
          <w:b/>
          <w:snapToGrid w:val="0"/>
          <w:sz w:val="28"/>
          <w:szCs w:val="28"/>
        </w:rPr>
        <w:t xml:space="preserve"> </w:t>
      </w:r>
      <w:r w:rsidR="00D276D2" w:rsidRPr="00F00CED">
        <w:rPr>
          <w:b/>
          <w:snapToGrid w:val="0"/>
          <w:sz w:val="28"/>
          <w:szCs w:val="28"/>
          <w:lang w:val="en-US"/>
        </w:rPr>
        <w:t>IV</w:t>
      </w:r>
      <w:r w:rsidR="00D276D2" w:rsidRPr="00F00CED">
        <w:rPr>
          <w:b/>
          <w:snapToGrid w:val="0"/>
          <w:sz w:val="28"/>
          <w:szCs w:val="28"/>
        </w:rPr>
        <w:t xml:space="preserve"> квартале </w:t>
      </w:r>
      <w:r w:rsidR="002E7F4E" w:rsidRPr="00F00CED">
        <w:rPr>
          <w:b/>
          <w:snapToGrid w:val="0"/>
          <w:sz w:val="28"/>
          <w:szCs w:val="28"/>
        </w:rPr>
        <w:t>2023 г</w:t>
      </w:r>
      <w:r w:rsidR="00D276D2" w:rsidRPr="00F00CED">
        <w:rPr>
          <w:b/>
          <w:snapToGrid w:val="0"/>
          <w:sz w:val="28"/>
          <w:szCs w:val="28"/>
        </w:rPr>
        <w:t>.</w:t>
      </w:r>
      <w:r w:rsidR="000F1850" w:rsidRPr="00F00CED">
        <w:rPr>
          <w:b/>
          <w:snapToGrid w:val="0"/>
          <w:sz w:val="28"/>
          <w:szCs w:val="28"/>
        </w:rPr>
        <w:t>,</w:t>
      </w:r>
      <w:r w:rsidR="002E7F4E" w:rsidRPr="00F00CED">
        <w:rPr>
          <w:b/>
          <w:snapToGrid w:val="0"/>
          <w:sz w:val="28"/>
          <w:szCs w:val="28"/>
        </w:rPr>
        <w:t xml:space="preserve"> </w:t>
      </w:r>
      <w:r w:rsidRPr="00F00CED">
        <w:rPr>
          <w:b/>
          <w:sz w:val="28"/>
          <w:szCs w:val="28"/>
        </w:rPr>
        <w:t>по вопросам</w:t>
      </w:r>
      <w:r w:rsidR="004061EC" w:rsidRPr="00F00CED">
        <w:rPr>
          <w:b/>
          <w:sz w:val="28"/>
          <w:szCs w:val="28"/>
        </w:rPr>
        <w:t xml:space="preserve"> налогообложения имущества </w:t>
      </w:r>
    </w:p>
    <w:p w:rsidR="00DD41A7" w:rsidRPr="00F00CED" w:rsidRDefault="00DD41A7" w:rsidP="0087676C">
      <w:pPr>
        <w:pStyle w:val="Default"/>
        <w:spacing w:line="340" w:lineRule="atLeast"/>
        <w:ind w:firstLine="567"/>
        <w:jc w:val="both"/>
        <w:rPr>
          <w:b/>
          <w:sz w:val="28"/>
          <w:szCs w:val="28"/>
        </w:rPr>
      </w:pPr>
      <w:r w:rsidRPr="00F00CED">
        <w:rPr>
          <w:b/>
          <w:sz w:val="28"/>
          <w:szCs w:val="28"/>
        </w:rPr>
        <w:tab/>
      </w:r>
    </w:p>
    <w:p w:rsidR="00DD41A7" w:rsidRPr="00F00CED" w:rsidRDefault="00DD41A7" w:rsidP="0087676C">
      <w:pPr>
        <w:pStyle w:val="Default"/>
        <w:spacing w:line="340" w:lineRule="atLeast"/>
        <w:ind w:firstLine="567"/>
        <w:jc w:val="both"/>
        <w:rPr>
          <w:b/>
          <w:sz w:val="28"/>
          <w:szCs w:val="28"/>
        </w:rPr>
      </w:pPr>
      <w:r w:rsidRPr="00F00CED">
        <w:rPr>
          <w:b/>
          <w:sz w:val="28"/>
          <w:szCs w:val="28"/>
        </w:rPr>
        <w:t>1</w:t>
      </w:r>
      <w:r w:rsidR="00D549E6" w:rsidRPr="00F00CED">
        <w:rPr>
          <w:b/>
          <w:sz w:val="28"/>
          <w:szCs w:val="28"/>
        </w:rPr>
        <w:t>.</w:t>
      </w:r>
      <w:r w:rsidRPr="00F00CED">
        <w:rPr>
          <w:b/>
          <w:sz w:val="28"/>
          <w:szCs w:val="28"/>
        </w:rPr>
        <w:t xml:space="preserve"> Определение Верховного Суда Российской Федерации (далее </w:t>
      </w:r>
      <w:r w:rsidR="007B71D4" w:rsidRPr="00F00CED">
        <w:rPr>
          <w:b/>
          <w:sz w:val="28"/>
          <w:szCs w:val="28"/>
        </w:rPr>
        <w:t>– Верховный</w:t>
      </w:r>
      <w:r w:rsidRPr="00F00CED">
        <w:rPr>
          <w:b/>
          <w:sz w:val="28"/>
          <w:szCs w:val="28"/>
        </w:rPr>
        <w:t xml:space="preserve"> Суд) от 18.09.2023 № 306-ЭС23-16674</w:t>
      </w:r>
      <w:r w:rsidR="0092167A" w:rsidRPr="00F00CED">
        <w:rPr>
          <w:b/>
          <w:sz w:val="28"/>
          <w:szCs w:val="28"/>
        </w:rPr>
        <w:t xml:space="preserve"> по делу № А55-28635/2021</w:t>
      </w:r>
    </w:p>
    <w:p w:rsidR="0087676C" w:rsidRPr="0087676C" w:rsidRDefault="0087676C" w:rsidP="0087676C">
      <w:pPr>
        <w:pStyle w:val="Default"/>
        <w:spacing w:line="340" w:lineRule="atLeast"/>
        <w:ind w:firstLine="567"/>
        <w:jc w:val="both"/>
        <w:rPr>
          <w:sz w:val="28"/>
          <w:szCs w:val="28"/>
        </w:rPr>
      </w:pPr>
      <w:r w:rsidRPr="0087676C">
        <w:rPr>
          <w:sz w:val="28"/>
          <w:szCs w:val="28"/>
        </w:rPr>
        <w:t>ПАО (далее в настоящем пункте – общество, налогоплательщик) обратилось в Арбитражный суд Самарской области с заявлением о признании недействительным решения налогового органа о привлечении к ответственности за совершение налогового правонарушения в части доначисления налога на имущество организаций (далее в настоящем пункте – налог) за 9 месяцев 2019 года.</w:t>
      </w:r>
    </w:p>
    <w:p w:rsidR="0087676C" w:rsidRPr="0087676C" w:rsidRDefault="0087676C" w:rsidP="0087676C">
      <w:pPr>
        <w:pStyle w:val="Default"/>
        <w:spacing w:line="340" w:lineRule="atLeast"/>
        <w:ind w:firstLine="567"/>
        <w:jc w:val="both"/>
        <w:rPr>
          <w:sz w:val="28"/>
          <w:szCs w:val="28"/>
        </w:rPr>
      </w:pPr>
      <w:r w:rsidRPr="0087676C">
        <w:rPr>
          <w:sz w:val="28"/>
          <w:szCs w:val="28"/>
        </w:rPr>
        <w:t xml:space="preserve">Основанием для начисления налога послужил вывод налогового органа о неправомерном исключении обществом из налогооблагаемой базы объектов недвижимости, состоящих из комплекса объектов, которые объединены единым производственным назначением и технологическим режимом работы, и линий </w:t>
      </w:r>
      <w:proofErr w:type="spellStart"/>
      <w:r w:rsidRPr="0087676C">
        <w:rPr>
          <w:sz w:val="28"/>
          <w:szCs w:val="28"/>
        </w:rPr>
        <w:t>энергопередачи</w:t>
      </w:r>
      <w:proofErr w:type="spellEnd"/>
      <w:r w:rsidRPr="0087676C">
        <w:rPr>
          <w:sz w:val="28"/>
          <w:szCs w:val="28"/>
        </w:rPr>
        <w:t xml:space="preserve">, а также сооружений, являющихся неотъемлемой технологической частью линий </w:t>
      </w:r>
      <w:proofErr w:type="spellStart"/>
      <w:r w:rsidRPr="0087676C">
        <w:rPr>
          <w:sz w:val="28"/>
          <w:szCs w:val="28"/>
        </w:rPr>
        <w:t>энергопередачи</w:t>
      </w:r>
      <w:proofErr w:type="spellEnd"/>
      <w:r w:rsidRPr="0087676C">
        <w:rPr>
          <w:sz w:val="28"/>
          <w:szCs w:val="28"/>
        </w:rPr>
        <w:t>, составляющей единый функциональный комплекс, используемые для передачи электроэнергии.</w:t>
      </w:r>
    </w:p>
    <w:p w:rsidR="0087676C" w:rsidRPr="0087676C" w:rsidRDefault="0087676C" w:rsidP="0087676C">
      <w:pPr>
        <w:pStyle w:val="Default"/>
        <w:spacing w:line="340" w:lineRule="atLeast"/>
        <w:ind w:firstLine="567"/>
        <w:jc w:val="both"/>
        <w:rPr>
          <w:sz w:val="28"/>
          <w:szCs w:val="28"/>
        </w:rPr>
      </w:pPr>
      <w:r w:rsidRPr="0087676C">
        <w:rPr>
          <w:sz w:val="28"/>
          <w:szCs w:val="28"/>
        </w:rPr>
        <w:t xml:space="preserve">Отказывая в удовлетворении заявленных требований, суды трех инстанций, согласившись с выводами налогового органа, исходили из того, что спорное имущество, исключенное обществом из объектов налогообложения по налогу, состоит из комплекса объектов, которые объединены единым производственным назначением и технологическим режимом работы; линий </w:t>
      </w:r>
      <w:proofErr w:type="spellStart"/>
      <w:r w:rsidRPr="0087676C">
        <w:rPr>
          <w:sz w:val="28"/>
          <w:szCs w:val="28"/>
        </w:rPr>
        <w:t>энергопередачи</w:t>
      </w:r>
      <w:proofErr w:type="spellEnd"/>
      <w:r w:rsidRPr="0087676C">
        <w:rPr>
          <w:sz w:val="28"/>
          <w:szCs w:val="28"/>
        </w:rPr>
        <w:t xml:space="preserve">, а также сооружений, являющихся неотъемлемой технологической частью линий </w:t>
      </w:r>
      <w:proofErr w:type="spellStart"/>
      <w:r w:rsidRPr="0087676C">
        <w:rPr>
          <w:sz w:val="28"/>
          <w:szCs w:val="28"/>
        </w:rPr>
        <w:t>энергопередачи</w:t>
      </w:r>
      <w:proofErr w:type="spellEnd"/>
      <w:r w:rsidRPr="0087676C">
        <w:rPr>
          <w:sz w:val="28"/>
          <w:szCs w:val="28"/>
        </w:rPr>
        <w:t>, составляющей единый функциональный комплекс, используемые для передачи электроэнергии и должно входить в расчет стоимости имущества.</w:t>
      </w:r>
    </w:p>
    <w:p w:rsidR="0087676C" w:rsidRPr="0087676C" w:rsidRDefault="0087676C" w:rsidP="0087676C">
      <w:pPr>
        <w:pStyle w:val="Default"/>
        <w:spacing w:line="340" w:lineRule="atLeast"/>
        <w:ind w:firstLine="567"/>
        <w:jc w:val="both"/>
        <w:rPr>
          <w:sz w:val="28"/>
          <w:szCs w:val="28"/>
        </w:rPr>
      </w:pPr>
      <w:r w:rsidRPr="0087676C">
        <w:rPr>
          <w:sz w:val="28"/>
          <w:szCs w:val="28"/>
        </w:rPr>
        <w:t>В соответствии с пунктом 1 статьи 374 Налогового кодекса Российской Федерации (далее – Кодекс) объектами обложения налогом для российских организаций признается имущество, учитываемое на балансе в качестве объектов основных средств в порядке, установленном для ведения бухгалтерского учета, если иное не предусмотрено статьями 378 и 378.1 Кодекса.</w:t>
      </w:r>
    </w:p>
    <w:p w:rsidR="0087676C" w:rsidRPr="0087676C" w:rsidRDefault="0087676C" w:rsidP="0087676C">
      <w:pPr>
        <w:pStyle w:val="Default"/>
        <w:spacing w:line="340" w:lineRule="atLeast"/>
        <w:ind w:firstLine="567"/>
        <w:jc w:val="both"/>
        <w:rPr>
          <w:sz w:val="28"/>
          <w:szCs w:val="28"/>
        </w:rPr>
      </w:pPr>
      <w:r w:rsidRPr="0087676C">
        <w:rPr>
          <w:sz w:val="28"/>
          <w:szCs w:val="28"/>
        </w:rPr>
        <w:t>На основании пункта 25 статьи 381 Кодекса организации освобождаются от налогообложения в отношении движимого имущества, принятого с 01.01.2013 на учет в качестве основных средств,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пункта 2 статьи 105.1 Кодекса взаимозависимыми.</w:t>
      </w:r>
    </w:p>
    <w:p w:rsidR="0087676C" w:rsidRDefault="0087676C" w:rsidP="0087676C">
      <w:pPr>
        <w:pStyle w:val="Default"/>
        <w:spacing w:line="340" w:lineRule="atLeast"/>
        <w:ind w:firstLine="567"/>
        <w:jc w:val="both"/>
        <w:rPr>
          <w:sz w:val="28"/>
          <w:szCs w:val="28"/>
        </w:rPr>
      </w:pPr>
      <w:r w:rsidRPr="0087676C">
        <w:rPr>
          <w:sz w:val="28"/>
          <w:szCs w:val="28"/>
        </w:rPr>
        <w:t>В силу пункта 1 статьи 11 Кодекса в целях исчисления налога надлежит руководствоваться статьей 130 Гражданского кодекса Российской Федерации (далее – ГК РФ).</w:t>
      </w:r>
    </w:p>
    <w:p w:rsidR="0087676C" w:rsidRPr="0087676C" w:rsidRDefault="0087676C" w:rsidP="0087676C">
      <w:pPr>
        <w:pStyle w:val="Default"/>
        <w:spacing w:line="340" w:lineRule="atLeast"/>
        <w:ind w:firstLine="567"/>
        <w:jc w:val="both"/>
        <w:rPr>
          <w:sz w:val="28"/>
          <w:szCs w:val="28"/>
        </w:rPr>
      </w:pPr>
      <w:r w:rsidRPr="0087676C">
        <w:rPr>
          <w:sz w:val="28"/>
          <w:szCs w:val="28"/>
        </w:rPr>
        <w:lastRenderedPageBreak/>
        <w:t>Исходя из пункта 1 статьи 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Вещи, не относящиеся к недвижимости, включая деньги и ценные бумаги, на основании пункта 2 статьи 130 ГК РФ признаются движимым имуществом.</w:t>
      </w:r>
    </w:p>
    <w:p w:rsidR="0087676C" w:rsidRPr="0087676C" w:rsidRDefault="0087676C" w:rsidP="0087676C">
      <w:pPr>
        <w:pStyle w:val="Default"/>
        <w:spacing w:line="340" w:lineRule="atLeast"/>
        <w:ind w:firstLine="567"/>
        <w:jc w:val="both"/>
        <w:rPr>
          <w:sz w:val="28"/>
          <w:szCs w:val="28"/>
        </w:rPr>
      </w:pPr>
      <w:r w:rsidRPr="0087676C">
        <w:rPr>
          <w:sz w:val="28"/>
          <w:szCs w:val="28"/>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(статья 133.1 ГК РФ).</w:t>
      </w:r>
    </w:p>
    <w:p w:rsidR="0087676C" w:rsidRPr="0087676C" w:rsidRDefault="0087676C" w:rsidP="0087676C">
      <w:pPr>
        <w:pStyle w:val="Default"/>
        <w:spacing w:line="340" w:lineRule="atLeast"/>
        <w:ind w:firstLine="567"/>
        <w:jc w:val="both"/>
        <w:rPr>
          <w:sz w:val="28"/>
          <w:szCs w:val="28"/>
        </w:rPr>
      </w:pPr>
      <w:r w:rsidRPr="0087676C">
        <w:rPr>
          <w:sz w:val="28"/>
          <w:szCs w:val="28"/>
        </w:rPr>
        <w:t>Статьей 134 ГК РФ установлено, что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7676C" w:rsidRPr="0087676C" w:rsidRDefault="0087676C" w:rsidP="0087676C">
      <w:pPr>
        <w:pStyle w:val="Default"/>
        <w:spacing w:line="340" w:lineRule="atLeast"/>
        <w:ind w:firstLine="567"/>
        <w:jc w:val="both"/>
        <w:rPr>
          <w:sz w:val="28"/>
          <w:szCs w:val="28"/>
        </w:rPr>
      </w:pPr>
      <w:r w:rsidRPr="0087676C">
        <w:rPr>
          <w:sz w:val="28"/>
          <w:szCs w:val="28"/>
        </w:rPr>
        <w:t>В соответствии со статьей 3 Федерального закона от 21.07.1997 № 117-ФЗ «О безопасности гидротехнических сооружений» плотины, здания гидроэлектростанций, а также другие сооружения, предназначенные для использования на водных ресурсах, отнесены к гидротехническим сооружениям.</w:t>
      </w:r>
    </w:p>
    <w:p w:rsidR="0087676C" w:rsidRPr="0087676C" w:rsidRDefault="0087676C" w:rsidP="0087676C">
      <w:pPr>
        <w:pStyle w:val="Default"/>
        <w:spacing w:line="340" w:lineRule="atLeast"/>
        <w:ind w:firstLine="567"/>
        <w:jc w:val="both"/>
        <w:rPr>
          <w:sz w:val="28"/>
          <w:szCs w:val="28"/>
        </w:rPr>
      </w:pPr>
      <w:r w:rsidRPr="0087676C">
        <w:rPr>
          <w:sz w:val="28"/>
          <w:szCs w:val="28"/>
        </w:rPr>
        <w:t>В Российском регистре гидротехнических сооружений числятся объекты: водосливная плотина, сороудерживающее сооружение.</w:t>
      </w:r>
    </w:p>
    <w:p w:rsidR="0087676C" w:rsidRPr="0087676C" w:rsidRDefault="0087676C" w:rsidP="0087676C">
      <w:pPr>
        <w:pStyle w:val="Default"/>
        <w:spacing w:line="340" w:lineRule="atLeast"/>
        <w:ind w:firstLine="567"/>
        <w:jc w:val="both"/>
        <w:rPr>
          <w:sz w:val="28"/>
          <w:szCs w:val="28"/>
        </w:rPr>
      </w:pPr>
      <w:r w:rsidRPr="0087676C">
        <w:rPr>
          <w:sz w:val="28"/>
          <w:szCs w:val="28"/>
        </w:rPr>
        <w:t>В состав связанных с предметом спора гидротехнических сооружений напорного фронта Жигулевского гидроузла входят: здание ГЭС (СНиП 33.01-2003 «Гидротехнические сооружения - основные положения» относится к 1 классу) и гидросиловое оборудование. В здании ГЭС установлено двадцать вертикальных гидроагрегатов.</w:t>
      </w:r>
    </w:p>
    <w:p w:rsidR="0087676C" w:rsidRPr="0087676C" w:rsidRDefault="0087676C" w:rsidP="0087676C">
      <w:pPr>
        <w:pStyle w:val="Default"/>
        <w:spacing w:line="340" w:lineRule="atLeast"/>
        <w:ind w:firstLine="567"/>
        <w:jc w:val="both"/>
        <w:rPr>
          <w:sz w:val="28"/>
          <w:szCs w:val="28"/>
        </w:rPr>
      </w:pPr>
      <w:r w:rsidRPr="0087676C">
        <w:rPr>
          <w:sz w:val="28"/>
          <w:szCs w:val="28"/>
        </w:rPr>
        <w:t>Как установлено судами, относящиеся к ГЭС турбины являются отдельными конструктивно обособленными предметами, предназначенными для выполнения определенных самостоятельных функций, целого комплекса конструктивно сочлененных предметов, представляющих собой единое целое и предназначенных для выполнения определенной работы (непосредственно в выработке электроэнергии), то есть являются ее неотъемлемой технологической частью. Турбины участвуют непосредственно в выработке электроэнергии и функционируют в целях деятельности гидроэлектростанции, и в целях налогообложения по налогу их следует отнести к недвижимому имуществу.</w:t>
      </w:r>
    </w:p>
    <w:p w:rsidR="0087676C" w:rsidRDefault="0087676C" w:rsidP="0087676C">
      <w:pPr>
        <w:pStyle w:val="Default"/>
        <w:spacing w:line="340" w:lineRule="atLeast"/>
        <w:ind w:firstLine="567"/>
        <w:jc w:val="both"/>
        <w:rPr>
          <w:sz w:val="28"/>
          <w:szCs w:val="28"/>
        </w:rPr>
      </w:pPr>
      <w:r w:rsidRPr="0087676C">
        <w:rPr>
          <w:sz w:val="28"/>
          <w:szCs w:val="28"/>
        </w:rPr>
        <w:t>Общество также не включило в объекты для налогообложения объекты движимого имущества, в том числе трансформаторы и трансформаторные подстанции.</w:t>
      </w:r>
    </w:p>
    <w:p w:rsidR="0087676C" w:rsidRPr="0087676C" w:rsidRDefault="0087676C" w:rsidP="0087676C">
      <w:pPr>
        <w:pStyle w:val="Default"/>
        <w:spacing w:line="340" w:lineRule="atLeast"/>
        <w:ind w:firstLine="567"/>
        <w:jc w:val="both"/>
        <w:rPr>
          <w:sz w:val="28"/>
          <w:szCs w:val="28"/>
        </w:rPr>
      </w:pPr>
      <w:r w:rsidRPr="0087676C">
        <w:rPr>
          <w:sz w:val="28"/>
          <w:szCs w:val="28"/>
        </w:rPr>
        <w:lastRenderedPageBreak/>
        <w:t>В соответствии со статьи 3 Федерального закона от 26.03.2003 № 35-ФЗ «Об электроэнергетике» к объектам электросетевого хозяйства относятся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7676C" w:rsidRPr="0087676C" w:rsidRDefault="0087676C" w:rsidP="0087676C">
      <w:pPr>
        <w:pStyle w:val="Default"/>
        <w:spacing w:line="340" w:lineRule="atLeast"/>
        <w:ind w:firstLine="567"/>
        <w:jc w:val="both"/>
        <w:rPr>
          <w:sz w:val="28"/>
          <w:szCs w:val="28"/>
        </w:rPr>
      </w:pPr>
      <w:r w:rsidRPr="0087676C">
        <w:rPr>
          <w:sz w:val="28"/>
          <w:szCs w:val="28"/>
        </w:rPr>
        <w:t>Таким образом, под объектом электросетевого хозяйства понимается как электросетевой комплекс, обслуживающий определенную территорию в целом, так и отдельные части такого комплекса.</w:t>
      </w:r>
    </w:p>
    <w:p w:rsidR="0087676C" w:rsidRPr="0087676C" w:rsidRDefault="0087676C" w:rsidP="0087676C">
      <w:pPr>
        <w:pStyle w:val="Default"/>
        <w:spacing w:line="340" w:lineRule="atLeast"/>
        <w:ind w:firstLine="567"/>
        <w:jc w:val="both"/>
        <w:rPr>
          <w:sz w:val="28"/>
          <w:szCs w:val="28"/>
        </w:rPr>
      </w:pPr>
      <w:r w:rsidRPr="0087676C">
        <w:rPr>
          <w:sz w:val="28"/>
          <w:szCs w:val="28"/>
        </w:rPr>
        <w:t>Объекты электросетевого комплекса являются по своей правовой природе сложной вещью, в состав которой может входить как движимое, так и недвижимое имущество, предполагающее использование по общему назначению и рассматриваемое как одна вещь; вынужденное деление единого имущественного электросетевого комплекса как сложной вещи приводит к фактической невозможности использования имущества по целевому назначению и осуществления деятельности по оказанию услуг по передаче электрической энергии (Определение Верховного Суда Российской Федерации от 03.09.2018 № 307-КГ18-13146).</w:t>
      </w:r>
    </w:p>
    <w:p w:rsidR="0087676C" w:rsidRPr="0087676C" w:rsidRDefault="0087676C" w:rsidP="0087676C">
      <w:pPr>
        <w:pStyle w:val="Default"/>
        <w:spacing w:line="340" w:lineRule="atLeast"/>
        <w:ind w:firstLine="567"/>
        <w:jc w:val="both"/>
        <w:rPr>
          <w:sz w:val="28"/>
          <w:szCs w:val="28"/>
        </w:rPr>
      </w:pPr>
      <w:r w:rsidRPr="0087676C">
        <w:rPr>
          <w:sz w:val="28"/>
          <w:szCs w:val="28"/>
        </w:rPr>
        <w:t>Судами отмечено, что трансформаторная подстанция обладает признаками недвижимости, однако не имеет самостоятельного значения при отсутствии в ней движимой вещи (трансформатора). Посредством трансформаторной подстанции осуществляется снабжение потребителей электроэнергией, то есть трансформаторная подстанция - это сооружение, предназначенное для выполнения функций электроснабжения, следовательно, демонтаж оборудования, находящегося в нем, приведет к прекращению подачи электроэнергии.</w:t>
      </w:r>
    </w:p>
    <w:p w:rsidR="0087676C" w:rsidRPr="0087676C" w:rsidRDefault="0087676C" w:rsidP="0087676C">
      <w:pPr>
        <w:pStyle w:val="Default"/>
        <w:spacing w:line="340" w:lineRule="atLeast"/>
        <w:ind w:firstLine="567"/>
        <w:jc w:val="both"/>
        <w:rPr>
          <w:sz w:val="28"/>
          <w:szCs w:val="28"/>
        </w:rPr>
      </w:pPr>
      <w:r w:rsidRPr="0087676C">
        <w:rPr>
          <w:sz w:val="28"/>
          <w:szCs w:val="28"/>
        </w:rPr>
        <w:t xml:space="preserve">Согласно пунктам 1.1, 1.2 и 1.3 раздела 3 Перечня видов недвижимого и движимого имущества, входящего в состав электросетевых единых производственно-технологических комплексов (утв. Приказом </w:t>
      </w:r>
      <w:proofErr w:type="spellStart"/>
      <w:r w:rsidRPr="0087676C">
        <w:rPr>
          <w:sz w:val="28"/>
          <w:szCs w:val="28"/>
        </w:rPr>
        <w:t>Минпромэнерго</w:t>
      </w:r>
      <w:proofErr w:type="spellEnd"/>
      <w:r w:rsidRPr="0087676C">
        <w:rPr>
          <w:sz w:val="28"/>
          <w:szCs w:val="28"/>
        </w:rPr>
        <w:t xml:space="preserve"> России от 01.08.2007 № 295), трансформаторные подстанции, воздушные линии электропередачи (питающая линия от генерирующего источника при наличии, отходящие линии переменного и постоянного тока, распределительные электропередачи), кабельные линии электропередачи отнесены к объектам недвижимого имущества. Аналогичный вывод о невозможности использования электрического оборудования отдельно от трансформаторных подстанций, в которых оно находится, содержатся и в Постановлении Президиума ВАС РФ от 29.11.2011 № 8799/11.</w:t>
      </w:r>
    </w:p>
    <w:p w:rsidR="0087676C" w:rsidRPr="0087676C" w:rsidRDefault="0087676C" w:rsidP="0087676C">
      <w:pPr>
        <w:pStyle w:val="Default"/>
        <w:spacing w:line="340" w:lineRule="atLeast"/>
        <w:ind w:firstLine="567"/>
        <w:jc w:val="both"/>
        <w:rPr>
          <w:sz w:val="28"/>
          <w:szCs w:val="28"/>
        </w:rPr>
      </w:pPr>
      <w:r w:rsidRPr="0087676C">
        <w:rPr>
          <w:sz w:val="28"/>
          <w:szCs w:val="28"/>
        </w:rPr>
        <w:t>В ходе проведения дополнительных мероприятий налогового контроля на основании постановления налогового органа экспертная организация провела комплексную строительно-техническую экспертизу, по результатам которой составила заключение эксперта.</w:t>
      </w:r>
    </w:p>
    <w:p w:rsidR="0087676C" w:rsidRPr="0087676C" w:rsidRDefault="0087676C" w:rsidP="0087676C">
      <w:pPr>
        <w:pStyle w:val="Default"/>
        <w:spacing w:line="340" w:lineRule="atLeast"/>
        <w:ind w:firstLine="567"/>
        <w:jc w:val="both"/>
        <w:rPr>
          <w:sz w:val="28"/>
          <w:szCs w:val="28"/>
        </w:rPr>
      </w:pPr>
      <w:r w:rsidRPr="0087676C">
        <w:rPr>
          <w:sz w:val="28"/>
          <w:szCs w:val="28"/>
        </w:rPr>
        <w:t xml:space="preserve">Экспертом определены объекты собственности ПАО, являющиеся неотъемлемой частью гидротехнических сооружений, которые объединены единым производственным назначением и технологическим режимом работы, а также объекты, не являющиеся неотъемлемой частью линий </w:t>
      </w:r>
      <w:proofErr w:type="spellStart"/>
      <w:r w:rsidRPr="0087676C">
        <w:rPr>
          <w:sz w:val="28"/>
          <w:szCs w:val="28"/>
        </w:rPr>
        <w:t>энергопередачи</w:t>
      </w:r>
      <w:proofErr w:type="spellEnd"/>
      <w:r w:rsidRPr="0087676C">
        <w:rPr>
          <w:sz w:val="28"/>
          <w:szCs w:val="28"/>
        </w:rPr>
        <w:t>,</w:t>
      </w:r>
      <w:r>
        <w:rPr>
          <w:sz w:val="28"/>
          <w:szCs w:val="28"/>
        </w:rPr>
        <w:t xml:space="preserve"> </w:t>
      </w:r>
      <w:r w:rsidRPr="0087676C">
        <w:rPr>
          <w:sz w:val="28"/>
          <w:szCs w:val="28"/>
        </w:rPr>
        <w:lastRenderedPageBreak/>
        <w:t>составляющими единый функциональный комплекс, используемый для передачи и распределения электроэнергии.</w:t>
      </w:r>
    </w:p>
    <w:p w:rsidR="0087676C" w:rsidRPr="0087676C" w:rsidRDefault="0087676C" w:rsidP="0087676C">
      <w:pPr>
        <w:pStyle w:val="Default"/>
        <w:spacing w:line="340" w:lineRule="atLeast"/>
        <w:ind w:firstLine="567"/>
        <w:jc w:val="both"/>
        <w:rPr>
          <w:sz w:val="28"/>
          <w:szCs w:val="28"/>
        </w:rPr>
      </w:pPr>
      <w:r w:rsidRPr="0087676C">
        <w:rPr>
          <w:sz w:val="28"/>
          <w:szCs w:val="28"/>
        </w:rPr>
        <w:t>Перечень объектов, без использования которых по целевому назначению возможно функционирование единого имущественного электросетевого комплекса и осуществление деятельности по оказанию услуг по передаче электрической энергии, приведен в приложении к заключению эксперта.</w:t>
      </w:r>
    </w:p>
    <w:p w:rsidR="0087676C" w:rsidRPr="0087676C" w:rsidRDefault="0087676C" w:rsidP="0087676C">
      <w:pPr>
        <w:pStyle w:val="Default"/>
        <w:spacing w:line="340" w:lineRule="atLeast"/>
        <w:ind w:firstLine="567"/>
        <w:jc w:val="both"/>
        <w:rPr>
          <w:sz w:val="28"/>
          <w:szCs w:val="28"/>
        </w:rPr>
      </w:pPr>
      <w:r w:rsidRPr="0087676C">
        <w:rPr>
          <w:sz w:val="28"/>
          <w:szCs w:val="28"/>
        </w:rPr>
        <w:t>Судами отмечено, что идентичные обстоятельства, связанные с оценкой того же спорного имущества при определении ПАО налогооблагаемой базы по налогу за иные периоды, были предметом рассмотрения в рамках иных арбитражных дел.</w:t>
      </w:r>
    </w:p>
    <w:p w:rsidR="0087676C" w:rsidRPr="0087676C" w:rsidRDefault="0087676C" w:rsidP="0087676C">
      <w:pPr>
        <w:pStyle w:val="Default"/>
        <w:spacing w:line="340" w:lineRule="atLeast"/>
        <w:ind w:firstLine="567"/>
        <w:jc w:val="both"/>
        <w:rPr>
          <w:sz w:val="28"/>
          <w:szCs w:val="28"/>
        </w:rPr>
      </w:pPr>
      <w:r w:rsidRPr="0087676C">
        <w:rPr>
          <w:sz w:val="28"/>
          <w:szCs w:val="28"/>
        </w:rPr>
        <w:t>Вступившими в законную силу судебными актами установлено, что ГЭС представляет собой комплекс объединенных единым производственным назначением и технологическим режимом работы зданий, сооружений и иных вещей, неразрывно связанных физически или технологически, возведенных по единому проекту и расположенных на одном земельном участке; спорные объекты, входящие в состав гидроэлектростанции, являются ее составной частью и относятся к сложной вещи; выделение из состава ГЭС спорных объектов, в рассматриваемом случае является искусственным разделением в бухгалтерском учете единого объекта основных средств, выступающего недвижимым объектом (сооружением); ГЭС - это комплекс сооружений и оборудования, посредством которых энергия водотока преобразуется в электрическую энергию. Филиал ПАО – Жигулевская ГЭС представляет собой электростанцию, которая производит электроэнергию и посредством присоединенных линий передает ее потребителям.</w:t>
      </w:r>
    </w:p>
    <w:p w:rsidR="0087676C" w:rsidRPr="0087676C" w:rsidRDefault="0087676C" w:rsidP="0087676C">
      <w:pPr>
        <w:pStyle w:val="Default"/>
        <w:spacing w:line="340" w:lineRule="atLeast"/>
        <w:ind w:firstLine="567"/>
        <w:jc w:val="both"/>
        <w:rPr>
          <w:sz w:val="28"/>
          <w:szCs w:val="28"/>
        </w:rPr>
      </w:pPr>
      <w:r w:rsidRPr="0087676C">
        <w:rPr>
          <w:sz w:val="28"/>
          <w:szCs w:val="28"/>
        </w:rPr>
        <w:t>Таким образом, главной функцией филиала ПАО являлось выработка электроэнергии и передача ее потребителям, следовательно, каждый входящий в комплекс предмет мог выполнять свои функции только в составе комплекса, а не самостоятельно, а, значит, составляют единый функциональный комплекс и относятся к объектам недвижимости.</w:t>
      </w:r>
    </w:p>
    <w:p w:rsidR="0087676C" w:rsidRPr="0087676C" w:rsidRDefault="0087676C" w:rsidP="0087676C">
      <w:pPr>
        <w:pStyle w:val="Default"/>
        <w:spacing w:line="340" w:lineRule="atLeast"/>
        <w:ind w:firstLine="567"/>
        <w:jc w:val="both"/>
        <w:rPr>
          <w:sz w:val="28"/>
          <w:szCs w:val="28"/>
        </w:rPr>
      </w:pPr>
      <w:r w:rsidRPr="0087676C">
        <w:rPr>
          <w:sz w:val="28"/>
          <w:szCs w:val="28"/>
        </w:rPr>
        <w:t>При этом судами отмечено, что выделение из состава ГЭС спорных объектов в рассматриваемом случае является искусственным разделением в бухгалтерском учете единого объекта основных средств, выступающего недвижимым объектом (сооружением). Соответственно, квалификация налогоплательщиком спорных объектов в качестве движимого имущества является необоснованной.</w:t>
      </w:r>
    </w:p>
    <w:p w:rsidR="0087676C" w:rsidRPr="0087676C" w:rsidRDefault="0087676C" w:rsidP="0087676C">
      <w:pPr>
        <w:pStyle w:val="Default"/>
        <w:spacing w:line="340" w:lineRule="atLeast"/>
        <w:ind w:firstLine="567"/>
        <w:jc w:val="both"/>
        <w:rPr>
          <w:sz w:val="28"/>
          <w:szCs w:val="28"/>
        </w:rPr>
      </w:pPr>
      <w:r w:rsidRPr="0087676C">
        <w:rPr>
          <w:sz w:val="28"/>
          <w:szCs w:val="28"/>
        </w:rPr>
        <w:t xml:space="preserve">При указанных обстоятельствах суды пришли к выводу об отказе в удовлетворении заявленных налогоплательщиком требований, поскольку признали законными и обоснованными выводы налогового органа о неправомерном занижении обществом в декларации по налогу за 9 месяцев 2019 года налоговой базы вследствие отнесения к движимому имуществу объектов основных средств, которые объединены единым производственным назначением и технологическим режимом работы; а также линий </w:t>
      </w:r>
      <w:proofErr w:type="spellStart"/>
      <w:r w:rsidRPr="0087676C">
        <w:rPr>
          <w:sz w:val="28"/>
          <w:szCs w:val="28"/>
        </w:rPr>
        <w:t>энергопередачи</w:t>
      </w:r>
      <w:proofErr w:type="spellEnd"/>
      <w:r w:rsidRPr="0087676C">
        <w:rPr>
          <w:sz w:val="28"/>
          <w:szCs w:val="28"/>
        </w:rPr>
        <w:t xml:space="preserve"> и сооружений, являющихся неотъемлемой технологической частью линий </w:t>
      </w:r>
      <w:proofErr w:type="spellStart"/>
      <w:r w:rsidRPr="0087676C">
        <w:rPr>
          <w:sz w:val="28"/>
          <w:szCs w:val="28"/>
        </w:rPr>
        <w:t>энергопередачи</w:t>
      </w:r>
      <w:proofErr w:type="spellEnd"/>
      <w:r w:rsidRPr="0087676C">
        <w:rPr>
          <w:sz w:val="28"/>
          <w:szCs w:val="28"/>
        </w:rPr>
        <w:t>, составляющей единый функциональный комплекс.</w:t>
      </w:r>
    </w:p>
    <w:p w:rsidR="0087676C" w:rsidRDefault="0087676C" w:rsidP="0087676C">
      <w:pPr>
        <w:pStyle w:val="Default"/>
        <w:spacing w:line="340" w:lineRule="atLeast"/>
        <w:ind w:firstLine="567"/>
        <w:jc w:val="both"/>
        <w:rPr>
          <w:sz w:val="28"/>
          <w:szCs w:val="28"/>
        </w:rPr>
      </w:pPr>
      <w:r w:rsidRPr="0087676C">
        <w:rPr>
          <w:sz w:val="28"/>
          <w:szCs w:val="28"/>
        </w:rPr>
        <w:lastRenderedPageBreak/>
        <w:t>Определением Верховного Суда от 18.09.2023 № 306-ЭС23-16774 ПАО отказано в передаче кассационной жалобы налогоплательщика для рассмотрения в судебном заседании Судебной коллегии по экономическим спорам.</w:t>
      </w:r>
    </w:p>
    <w:p w:rsidR="0087676C" w:rsidRPr="0087676C" w:rsidRDefault="0087676C" w:rsidP="0087676C">
      <w:pPr>
        <w:pStyle w:val="Default"/>
        <w:spacing w:line="340" w:lineRule="atLeast"/>
        <w:ind w:firstLine="567"/>
        <w:jc w:val="both"/>
        <w:rPr>
          <w:sz w:val="28"/>
          <w:szCs w:val="28"/>
        </w:rPr>
      </w:pPr>
    </w:p>
    <w:p w:rsidR="00842454" w:rsidRPr="00F00CED" w:rsidRDefault="008900AD" w:rsidP="0087676C">
      <w:pPr>
        <w:pStyle w:val="Default"/>
        <w:spacing w:line="340" w:lineRule="atLeast"/>
        <w:ind w:firstLine="567"/>
        <w:jc w:val="both"/>
        <w:rPr>
          <w:b/>
          <w:sz w:val="28"/>
          <w:szCs w:val="28"/>
        </w:rPr>
      </w:pPr>
      <w:r w:rsidRPr="00F00CED">
        <w:rPr>
          <w:b/>
          <w:sz w:val="28"/>
          <w:szCs w:val="28"/>
        </w:rPr>
        <w:t>2</w:t>
      </w:r>
      <w:r w:rsidR="00D549E6" w:rsidRPr="00F00CED">
        <w:rPr>
          <w:b/>
          <w:sz w:val="28"/>
          <w:szCs w:val="28"/>
        </w:rPr>
        <w:t>.</w:t>
      </w:r>
      <w:r w:rsidR="00842454" w:rsidRPr="00F00CED">
        <w:rPr>
          <w:b/>
          <w:bCs/>
          <w:sz w:val="28"/>
          <w:szCs w:val="28"/>
        </w:rPr>
        <w:t xml:space="preserve"> </w:t>
      </w:r>
      <w:r w:rsidR="00842454" w:rsidRPr="00F00CED">
        <w:rPr>
          <w:b/>
          <w:sz w:val="28"/>
          <w:szCs w:val="28"/>
        </w:rPr>
        <w:t xml:space="preserve">Определение Верховного Суда от 10.10.2023 № 309-ЭС23-19185 </w:t>
      </w:r>
      <w:r w:rsidR="0092167A" w:rsidRPr="00F00CED">
        <w:rPr>
          <w:b/>
          <w:sz w:val="28"/>
          <w:szCs w:val="28"/>
        </w:rPr>
        <w:t>по делу №</w:t>
      </w:r>
      <w:r w:rsidR="004414F8" w:rsidRPr="00F00CED">
        <w:rPr>
          <w:b/>
          <w:sz w:val="28"/>
          <w:szCs w:val="28"/>
        </w:rPr>
        <w:t> </w:t>
      </w:r>
      <w:r w:rsidR="0092167A" w:rsidRPr="00F00CED">
        <w:rPr>
          <w:b/>
          <w:sz w:val="28"/>
          <w:szCs w:val="28"/>
        </w:rPr>
        <w:t>А07-2676/2022</w:t>
      </w:r>
    </w:p>
    <w:p w:rsidR="0087676C" w:rsidRPr="0087676C" w:rsidRDefault="0087676C" w:rsidP="0087676C">
      <w:pPr>
        <w:pStyle w:val="Default"/>
        <w:spacing w:line="340" w:lineRule="atLeast"/>
        <w:ind w:firstLine="567"/>
        <w:jc w:val="both"/>
        <w:rPr>
          <w:sz w:val="28"/>
          <w:szCs w:val="28"/>
        </w:rPr>
      </w:pPr>
      <w:r w:rsidRPr="0087676C">
        <w:rPr>
          <w:sz w:val="28"/>
          <w:szCs w:val="28"/>
        </w:rPr>
        <w:t>Общество (далее в настоящем пункте – заявитель, общество, налогоплательщик) обратилось в Арбитражный суд Республики Башкортостан с заявлением о признании недействительным решения налоговой инспекции, выраженного в сообщении об исчисленной налоговым органом сумме земельного налога (далее в настоящем пункте – налог), в части перерасчета налога в отношении земельного участка.</w:t>
      </w:r>
    </w:p>
    <w:p w:rsidR="0087676C" w:rsidRPr="0087676C" w:rsidRDefault="0087676C" w:rsidP="0087676C">
      <w:pPr>
        <w:pStyle w:val="Default"/>
        <w:spacing w:line="340" w:lineRule="atLeast"/>
        <w:ind w:firstLine="567"/>
        <w:jc w:val="both"/>
        <w:rPr>
          <w:sz w:val="28"/>
          <w:szCs w:val="28"/>
        </w:rPr>
      </w:pPr>
      <w:r w:rsidRPr="0087676C">
        <w:rPr>
          <w:sz w:val="28"/>
          <w:szCs w:val="28"/>
        </w:rPr>
        <w:t>Как следует из материалов дела общество является собственником земельного участка, расположенного в Республике Башкортостан, относящегося к категории «земли населенных пунктов» с видом разрешенного использования: «для индивидуального жилищного строительства».</w:t>
      </w:r>
    </w:p>
    <w:p w:rsidR="0087676C" w:rsidRPr="0087676C" w:rsidRDefault="0087676C" w:rsidP="0087676C">
      <w:pPr>
        <w:pStyle w:val="Default"/>
        <w:spacing w:line="340" w:lineRule="atLeast"/>
        <w:ind w:firstLine="567"/>
        <w:jc w:val="both"/>
        <w:rPr>
          <w:sz w:val="28"/>
          <w:szCs w:val="28"/>
        </w:rPr>
      </w:pPr>
      <w:r w:rsidRPr="0087676C">
        <w:rPr>
          <w:sz w:val="28"/>
          <w:szCs w:val="28"/>
        </w:rPr>
        <w:t>На указанном земельном участке налогоплательщиком построены и зарегистрированы следующие объекты недвижимости: баня и два жилых дома.</w:t>
      </w:r>
    </w:p>
    <w:p w:rsidR="0087676C" w:rsidRPr="0087676C" w:rsidRDefault="0087676C" w:rsidP="0087676C">
      <w:pPr>
        <w:pStyle w:val="Default"/>
        <w:spacing w:line="340" w:lineRule="atLeast"/>
        <w:ind w:firstLine="567"/>
        <w:jc w:val="both"/>
        <w:rPr>
          <w:sz w:val="28"/>
          <w:szCs w:val="28"/>
        </w:rPr>
      </w:pPr>
      <w:r w:rsidRPr="0087676C">
        <w:rPr>
          <w:sz w:val="28"/>
          <w:szCs w:val="28"/>
        </w:rPr>
        <w:t>Полагая возможным применить по отношению к данному участку пониженную налоговую ставку налога, установленную подпунктом 1 пункта 1 статьи 394 Кодекса и решением Совета сельского поселения от 14.11.2019 № 3-2 (в ред. решения № 8-2 от 05.03.2020), равную 0,3%, общество в 2020 году исчислило и уплатило в бюджет налог в сумме 1171 рублей.</w:t>
      </w:r>
    </w:p>
    <w:p w:rsidR="0087676C" w:rsidRPr="0087676C" w:rsidRDefault="0087676C" w:rsidP="0087676C">
      <w:pPr>
        <w:pStyle w:val="Default"/>
        <w:spacing w:line="340" w:lineRule="atLeast"/>
        <w:ind w:firstLine="567"/>
        <w:jc w:val="both"/>
        <w:rPr>
          <w:sz w:val="28"/>
          <w:szCs w:val="28"/>
        </w:rPr>
      </w:pPr>
      <w:r w:rsidRPr="0087676C">
        <w:rPr>
          <w:sz w:val="28"/>
          <w:szCs w:val="28"/>
        </w:rPr>
        <w:t>Налоговый орган счел необоснованным применение обществом пониженной ставки налога и направил в его адрес сообщение от 18.08.2021, в соответствии с которым обществу исчислен налог по вышеуказанному земельному участку по ставке 1,5%.</w:t>
      </w:r>
    </w:p>
    <w:p w:rsidR="0087676C" w:rsidRPr="0087676C" w:rsidRDefault="0087676C" w:rsidP="0087676C">
      <w:pPr>
        <w:pStyle w:val="Default"/>
        <w:spacing w:line="340" w:lineRule="atLeast"/>
        <w:ind w:firstLine="567"/>
        <w:jc w:val="both"/>
        <w:rPr>
          <w:sz w:val="28"/>
          <w:szCs w:val="28"/>
        </w:rPr>
      </w:pPr>
      <w:r w:rsidRPr="0087676C">
        <w:rPr>
          <w:sz w:val="28"/>
          <w:szCs w:val="28"/>
        </w:rPr>
        <w:t>Общество, не согласившись с исчислением налога по ставке 1,5%, обратилось с заявлением в арбитражный суд.</w:t>
      </w:r>
    </w:p>
    <w:p w:rsidR="0087676C" w:rsidRPr="0087676C" w:rsidRDefault="0087676C" w:rsidP="0087676C">
      <w:pPr>
        <w:pStyle w:val="Default"/>
        <w:spacing w:line="340" w:lineRule="atLeast"/>
        <w:ind w:firstLine="567"/>
        <w:jc w:val="both"/>
        <w:rPr>
          <w:sz w:val="28"/>
          <w:szCs w:val="28"/>
        </w:rPr>
      </w:pPr>
      <w:r w:rsidRPr="0087676C">
        <w:rPr>
          <w:sz w:val="28"/>
          <w:szCs w:val="28"/>
        </w:rPr>
        <w:t>Суд первой инстанции, удовлетворяя заявленные требования, исходил из того, что сам по себе факт наличия у налогоплательщика статуса юридического лица - коммерческой организации не является безусловным свидетельством использования участка в предпринимательских целях. Определяющим для применения налоговой ставки земельного налога 0,3% суд счел отнесение земельного участка к виду разрешенного использования «для индивидуального жилищного строительства» и его фактическое использование по целевому назначению.</w:t>
      </w:r>
    </w:p>
    <w:p w:rsidR="0087676C" w:rsidRPr="0087676C" w:rsidRDefault="0087676C" w:rsidP="0087676C">
      <w:pPr>
        <w:pStyle w:val="Default"/>
        <w:spacing w:line="340" w:lineRule="atLeast"/>
        <w:ind w:firstLine="567"/>
        <w:jc w:val="both"/>
        <w:rPr>
          <w:sz w:val="28"/>
          <w:szCs w:val="28"/>
        </w:rPr>
      </w:pPr>
      <w:r w:rsidRPr="0087676C">
        <w:rPr>
          <w:sz w:val="28"/>
          <w:szCs w:val="28"/>
        </w:rPr>
        <w:t>Суд апелляционной инстанции решение суда отменил и отказал в удовлетворении заявленных требований, признав недоказанным наличие оснований для применения льготной ставки при исчислении налога.</w:t>
      </w:r>
    </w:p>
    <w:p w:rsidR="0087676C" w:rsidRPr="0087676C" w:rsidRDefault="0087676C" w:rsidP="0087676C">
      <w:pPr>
        <w:pStyle w:val="Default"/>
        <w:spacing w:line="340" w:lineRule="atLeast"/>
        <w:ind w:firstLine="567"/>
        <w:jc w:val="both"/>
        <w:rPr>
          <w:sz w:val="28"/>
          <w:szCs w:val="28"/>
        </w:rPr>
      </w:pPr>
      <w:r w:rsidRPr="0087676C">
        <w:rPr>
          <w:sz w:val="28"/>
          <w:szCs w:val="28"/>
        </w:rPr>
        <w:t>Суд кассационной инстанции поддержал выводы суда апелляционной инстанции.</w:t>
      </w:r>
    </w:p>
    <w:p w:rsidR="00355CA6" w:rsidRDefault="0087676C" w:rsidP="0087676C">
      <w:pPr>
        <w:pStyle w:val="Default"/>
        <w:spacing w:line="340" w:lineRule="atLeast"/>
        <w:ind w:firstLine="567"/>
        <w:jc w:val="both"/>
        <w:rPr>
          <w:sz w:val="28"/>
          <w:szCs w:val="28"/>
        </w:rPr>
      </w:pPr>
      <w:r w:rsidRPr="0087676C">
        <w:rPr>
          <w:sz w:val="28"/>
          <w:szCs w:val="28"/>
        </w:rPr>
        <w:t>Предельные размеры налоговых ставок по налогу определены в статье 394 Кодекса.</w:t>
      </w:r>
    </w:p>
    <w:p w:rsidR="0087676C" w:rsidRPr="0087676C" w:rsidRDefault="0087676C" w:rsidP="0087676C">
      <w:pPr>
        <w:pStyle w:val="Default"/>
        <w:spacing w:line="340" w:lineRule="atLeast"/>
        <w:ind w:firstLine="567"/>
        <w:jc w:val="both"/>
        <w:rPr>
          <w:sz w:val="28"/>
          <w:szCs w:val="28"/>
        </w:rPr>
      </w:pPr>
      <w:r w:rsidRPr="0087676C">
        <w:rPr>
          <w:sz w:val="28"/>
          <w:szCs w:val="28"/>
        </w:rPr>
        <w:lastRenderedPageBreak/>
        <w:t>Согласно положениям пункта 1 названной статьи налоговые ставки устанавливаются нормативными правовыми актами представительных органов муниципальных образований.</w:t>
      </w:r>
    </w:p>
    <w:p w:rsidR="0087676C" w:rsidRPr="0087676C" w:rsidRDefault="0087676C" w:rsidP="0087676C">
      <w:pPr>
        <w:pStyle w:val="Default"/>
        <w:spacing w:line="340" w:lineRule="atLeast"/>
        <w:ind w:firstLine="567"/>
        <w:jc w:val="both"/>
        <w:rPr>
          <w:sz w:val="28"/>
          <w:szCs w:val="28"/>
        </w:rPr>
      </w:pPr>
      <w:r w:rsidRPr="0087676C">
        <w:rPr>
          <w:sz w:val="28"/>
          <w:szCs w:val="28"/>
        </w:rPr>
        <w:t>В соответствии с пунктом 2 статьи 394 Кодекса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87676C" w:rsidRPr="0087676C" w:rsidRDefault="0087676C" w:rsidP="0087676C">
      <w:pPr>
        <w:pStyle w:val="Default"/>
        <w:spacing w:line="340" w:lineRule="atLeast"/>
        <w:ind w:firstLine="567"/>
        <w:jc w:val="both"/>
        <w:rPr>
          <w:sz w:val="28"/>
          <w:szCs w:val="28"/>
        </w:rPr>
      </w:pPr>
      <w:r w:rsidRPr="0087676C">
        <w:rPr>
          <w:sz w:val="28"/>
          <w:szCs w:val="28"/>
        </w:rPr>
        <w:t>Исходя из буквального содержания норм законодательства суд апелляционной инстанции пришел к выводу о том, что при разрешении вопроса о правомерности применения ставки налога подлежит установлению категория земельного участка и вид разрешенного использования земельного участка. При этом факт использования налогоплательщиком земельного участка в соответствии с видом разрешенного использования имеет существенное значение для установления наличия у него права на применение пониженной ставки налога. Если использование земельного участка отвечает требованиям его целевого использования, то ставка налога в отношении этого земельного участка применяется исходя из вида целевого использования, указанного в правоустанавливающих (кадастровых) документах.</w:t>
      </w:r>
    </w:p>
    <w:p w:rsidR="0087676C" w:rsidRPr="0087676C" w:rsidRDefault="0087676C" w:rsidP="0087676C">
      <w:pPr>
        <w:pStyle w:val="Default"/>
        <w:spacing w:line="340" w:lineRule="atLeast"/>
        <w:ind w:firstLine="567"/>
        <w:jc w:val="both"/>
        <w:rPr>
          <w:sz w:val="28"/>
          <w:szCs w:val="28"/>
        </w:rPr>
      </w:pPr>
      <w:r w:rsidRPr="0087676C">
        <w:rPr>
          <w:sz w:val="28"/>
          <w:szCs w:val="28"/>
        </w:rPr>
        <w:t>По смыслу налогового законодательства пониженные ставки налога устанавливаются для физических лиц, непосредственно использующих земли для индивидуального жилищного строительства. Для земельного участка, приобретенного (предоставленного) для жилищного строительства: доказательство фактического использования земельного участка для строительства жилья, по целевому назначению - для проживания граждан. Налогоплательщик должен использовать принадлежащий ему земельный участок в соответствии с тем видом разрешенного использования, который в установленном порядке определен и отражен в ЕГРН.</w:t>
      </w:r>
    </w:p>
    <w:p w:rsidR="0087676C" w:rsidRPr="0087676C" w:rsidRDefault="0087676C" w:rsidP="0087676C">
      <w:pPr>
        <w:pStyle w:val="Default"/>
        <w:spacing w:line="340" w:lineRule="atLeast"/>
        <w:ind w:firstLine="567"/>
        <w:jc w:val="both"/>
        <w:rPr>
          <w:sz w:val="28"/>
          <w:szCs w:val="28"/>
        </w:rPr>
      </w:pPr>
      <w:r w:rsidRPr="0087676C">
        <w:rPr>
          <w:sz w:val="28"/>
          <w:szCs w:val="28"/>
        </w:rPr>
        <w:t>В рассматриваемом случае суд апелляционной инстанции установил, что на спорном земельном участке, принадлежащем обществу и предназначенному в соответствии с видом разрешенного использования для индивидуального жилищного строительства, располагается три объекта недвижимости - баня и два жилых дома, вместе с тем, данные объекты не соответствуют понятию «жилищного фонда», по смыслу статей 17, 19 Жилищного кодекса Российской Федерации и статьи 288 ГК РФ, поскольку в действительности не используются для проживания граждан, а являются местом временного размещения руководителей заявителя на время отдыха.</w:t>
      </w:r>
    </w:p>
    <w:p w:rsidR="0087676C" w:rsidRPr="0087676C" w:rsidRDefault="0087676C" w:rsidP="0087676C">
      <w:pPr>
        <w:pStyle w:val="Default"/>
        <w:spacing w:line="340" w:lineRule="atLeast"/>
        <w:ind w:firstLine="567"/>
        <w:jc w:val="both"/>
        <w:rPr>
          <w:sz w:val="28"/>
          <w:szCs w:val="28"/>
        </w:rPr>
      </w:pPr>
      <w:r w:rsidRPr="0087676C">
        <w:rPr>
          <w:sz w:val="28"/>
          <w:szCs w:val="28"/>
        </w:rPr>
        <w:t>Таким образом, суд апелляционной инстанции счел недоказанным факт использования спорного земельного участка налогоплательщиком по целевому назначению, в соответствии с тем видом разрешенного использования, который в установленном порядке определен и отражен в ЕГРН, в связи с чем отказал в удовлетворении заявленных требований.</w:t>
      </w:r>
    </w:p>
    <w:p w:rsidR="0087676C" w:rsidRPr="0087676C" w:rsidRDefault="0087676C" w:rsidP="0087676C">
      <w:pPr>
        <w:pStyle w:val="Default"/>
        <w:spacing w:line="340" w:lineRule="atLeast"/>
        <w:ind w:firstLine="567"/>
        <w:jc w:val="both"/>
        <w:rPr>
          <w:sz w:val="28"/>
          <w:szCs w:val="28"/>
        </w:rPr>
      </w:pPr>
      <w:r w:rsidRPr="0087676C">
        <w:rPr>
          <w:sz w:val="28"/>
          <w:szCs w:val="28"/>
        </w:rPr>
        <w:t>Суд кассационной инстанции, поддержав указанные выводы апелляционной инстанции, отметил следующее.</w:t>
      </w:r>
    </w:p>
    <w:p w:rsidR="0087676C" w:rsidRPr="0087676C" w:rsidRDefault="0087676C" w:rsidP="0087676C">
      <w:pPr>
        <w:pStyle w:val="Default"/>
        <w:spacing w:line="340" w:lineRule="atLeast"/>
        <w:ind w:firstLine="567"/>
        <w:jc w:val="both"/>
        <w:rPr>
          <w:sz w:val="28"/>
          <w:szCs w:val="28"/>
        </w:rPr>
      </w:pPr>
      <w:r w:rsidRPr="0087676C">
        <w:rPr>
          <w:sz w:val="28"/>
          <w:szCs w:val="28"/>
        </w:rPr>
        <w:t>Цель, которую преследовал законодатель, предусматривая возможность установления и применения льготной ставки налога в отношении земельных участков</w:t>
      </w:r>
      <w:r>
        <w:rPr>
          <w:sz w:val="28"/>
          <w:szCs w:val="28"/>
        </w:rPr>
        <w:t xml:space="preserve"> </w:t>
      </w:r>
      <w:r w:rsidRPr="0087676C">
        <w:rPr>
          <w:sz w:val="28"/>
          <w:szCs w:val="28"/>
        </w:rPr>
        <w:lastRenderedPageBreak/>
        <w:t>приобретенных (предоставленных) для жилищного строительства, заключалась в необходимости поощрения возведения жилья путем создания более выгодных финансовых условий ведения строительства.</w:t>
      </w:r>
    </w:p>
    <w:p w:rsidR="0087676C" w:rsidRPr="0087676C" w:rsidRDefault="0087676C" w:rsidP="0087676C">
      <w:pPr>
        <w:pStyle w:val="Default"/>
        <w:spacing w:line="340" w:lineRule="atLeast"/>
        <w:ind w:firstLine="567"/>
        <w:jc w:val="both"/>
        <w:rPr>
          <w:sz w:val="28"/>
          <w:szCs w:val="28"/>
        </w:rPr>
      </w:pPr>
      <w:r w:rsidRPr="0087676C">
        <w:rPr>
          <w:sz w:val="28"/>
          <w:szCs w:val="28"/>
        </w:rPr>
        <w:t>Действительно, по общему правилу определяющим для применения налоговой ставки земельного налога 0,3 процента является вид разрешенного использования земельного участка для жилищного строительства и соответствующее назначение возводимых на нем объектов. Указанное регулирование связано с земельным участком и с установленным для него видом разрешенного использования, и не связано с тем, кто является собственником (владельцем) земельного участка, продолжительностью владения участком (определения Судебной коллегии по экономическим спорам Верховного Суда от 04.02.2020 № 308-ЭС19-18258, от 15.10.2020 № 309-ЭС20-11143, от 11.04.2022 № 306-ЭС21-25432, от 24.06.2022 № 310-ЭС22-2242).</w:t>
      </w:r>
    </w:p>
    <w:p w:rsidR="0087676C" w:rsidRPr="0087676C" w:rsidRDefault="0087676C" w:rsidP="0087676C">
      <w:pPr>
        <w:pStyle w:val="Default"/>
        <w:spacing w:line="340" w:lineRule="atLeast"/>
        <w:ind w:firstLine="567"/>
        <w:jc w:val="both"/>
        <w:rPr>
          <w:sz w:val="28"/>
          <w:szCs w:val="28"/>
        </w:rPr>
      </w:pPr>
      <w:r w:rsidRPr="0087676C">
        <w:rPr>
          <w:sz w:val="28"/>
          <w:szCs w:val="28"/>
        </w:rPr>
        <w:t>Однако подпунктом «а» пункта 75 статьи 2 Федерального закона от 29.09.2019 № 325-ФЗ «О внесении изменений в части первую и вторую Налогового кодекса Российской Федерации» (далее - Закон № 325-ФЗ) из сферы действия абзаца третьего подпункта 1 пункта 1 статьи 394 Кодекса исключены земельные участки, приобретенные (предоставленные) для индивидуального жилищного строительства, используемые в предпринимательской деятельности.</w:t>
      </w:r>
    </w:p>
    <w:p w:rsidR="0087676C" w:rsidRPr="0087676C" w:rsidRDefault="0087676C" w:rsidP="0087676C">
      <w:pPr>
        <w:pStyle w:val="Default"/>
        <w:spacing w:line="340" w:lineRule="atLeast"/>
        <w:ind w:firstLine="567"/>
        <w:jc w:val="both"/>
        <w:rPr>
          <w:sz w:val="28"/>
          <w:szCs w:val="28"/>
        </w:rPr>
      </w:pPr>
      <w:r w:rsidRPr="0087676C">
        <w:rPr>
          <w:sz w:val="28"/>
          <w:szCs w:val="28"/>
        </w:rPr>
        <w:t>Данное регулирование применяется с 01.01.2020 (пункт 1 статьи 5 Кодекса, пункт 2 статьи 3 Закона № 325-ФЗ).</w:t>
      </w:r>
    </w:p>
    <w:p w:rsidR="0087676C" w:rsidRPr="0087676C" w:rsidRDefault="0087676C" w:rsidP="0087676C">
      <w:pPr>
        <w:pStyle w:val="Default"/>
        <w:spacing w:line="340" w:lineRule="atLeast"/>
        <w:ind w:firstLine="567"/>
        <w:jc w:val="both"/>
        <w:rPr>
          <w:sz w:val="28"/>
          <w:szCs w:val="28"/>
        </w:rPr>
      </w:pPr>
      <w:r w:rsidRPr="0087676C">
        <w:rPr>
          <w:sz w:val="28"/>
          <w:szCs w:val="28"/>
        </w:rPr>
        <w:t>Коммерческие организации исключены из числа субъектов, которые вправе применять пониженную ставку налога в отношении земельных участков, приобретенных (предоставленных) для индивидуального жилищного строительства, даже в случаях, когда они осуществляют возведение объектов индивидуального жилищного строительства на принадлежащих им участках для реализации впоследствии построенных объектов гражданам.</w:t>
      </w:r>
    </w:p>
    <w:p w:rsidR="0087676C" w:rsidRPr="0087676C" w:rsidRDefault="0087676C" w:rsidP="0087676C">
      <w:pPr>
        <w:pStyle w:val="Default"/>
        <w:spacing w:line="340" w:lineRule="atLeast"/>
        <w:ind w:firstLine="567"/>
        <w:jc w:val="both"/>
        <w:rPr>
          <w:sz w:val="28"/>
          <w:szCs w:val="28"/>
        </w:rPr>
      </w:pPr>
      <w:r w:rsidRPr="0087676C">
        <w:rPr>
          <w:sz w:val="28"/>
          <w:szCs w:val="28"/>
        </w:rPr>
        <w:t xml:space="preserve">Принимая </w:t>
      </w:r>
      <w:proofErr w:type="gramStart"/>
      <w:r w:rsidRPr="0087676C">
        <w:rPr>
          <w:sz w:val="28"/>
          <w:szCs w:val="28"/>
        </w:rPr>
        <w:t>во внимание</w:t>
      </w:r>
      <w:proofErr w:type="gramEnd"/>
      <w:r w:rsidRPr="0087676C">
        <w:rPr>
          <w:sz w:val="28"/>
          <w:szCs w:val="28"/>
        </w:rPr>
        <w:t xml:space="preserve"> изложенное, начиная с 2020 года сам факт принадлежности коммерческой организации земельного участка, приобретенного (предоставленного) для индивидуального жилищного строительства, исключает возможность применения ставки, предусмотренной абзацем третьим подпункта 1 пункта 1 статьи 394 Кодекса (Определение Судебной коллегии по экономическим спорам Верховного Суда от 28.03.2023 № 305-ЭС22-27530).</w:t>
      </w:r>
    </w:p>
    <w:p w:rsidR="0087676C" w:rsidRPr="0087676C" w:rsidRDefault="0087676C" w:rsidP="0087676C">
      <w:pPr>
        <w:pStyle w:val="Default"/>
        <w:spacing w:line="340" w:lineRule="atLeast"/>
        <w:ind w:firstLine="567"/>
        <w:jc w:val="both"/>
        <w:rPr>
          <w:sz w:val="28"/>
          <w:szCs w:val="28"/>
        </w:rPr>
      </w:pPr>
      <w:r w:rsidRPr="0087676C">
        <w:rPr>
          <w:sz w:val="28"/>
          <w:szCs w:val="28"/>
        </w:rPr>
        <w:t>При таких обстоятельствах общество, являющееся коммерческой организацией, не вправе применять налоговую ставку 0,3% при исчислении налога за 2020 год, а произведенный налоговым органом перерасчет налога по ставке 1,5% является правомерным.</w:t>
      </w:r>
    </w:p>
    <w:p w:rsidR="0087676C" w:rsidRDefault="0087676C" w:rsidP="0087676C">
      <w:pPr>
        <w:pStyle w:val="Default"/>
        <w:spacing w:line="340" w:lineRule="atLeast"/>
        <w:ind w:firstLine="567"/>
        <w:jc w:val="both"/>
        <w:rPr>
          <w:sz w:val="28"/>
          <w:szCs w:val="28"/>
        </w:rPr>
      </w:pPr>
      <w:r w:rsidRPr="0087676C">
        <w:rPr>
          <w:sz w:val="28"/>
          <w:szCs w:val="28"/>
        </w:rPr>
        <w:t>Определением Верховного Суда от 10.10.2023 № 309-ЭС23-19185 обществу отказано в передаче кассационной жалобы для рассмотрения в судебном заседании Судебной коллегии по экономическим спорам.</w:t>
      </w:r>
    </w:p>
    <w:p w:rsidR="0087676C" w:rsidRPr="0087676C" w:rsidRDefault="0087676C" w:rsidP="0087676C">
      <w:pPr>
        <w:pStyle w:val="Default"/>
        <w:spacing w:line="340" w:lineRule="atLeast"/>
        <w:ind w:firstLine="567"/>
        <w:jc w:val="both"/>
        <w:rPr>
          <w:sz w:val="28"/>
          <w:szCs w:val="28"/>
        </w:rPr>
      </w:pPr>
    </w:p>
    <w:p w:rsidR="00355CA6" w:rsidRPr="00F00CED" w:rsidRDefault="00A4289E" w:rsidP="0087676C">
      <w:pPr>
        <w:pStyle w:val="Default"/>
        <w:spacing w:line="340" w:lineRule="atLeast"/>
        <w:ind w:firstLine="567"/>
        <w:jc w:val="both"/>
        <w:rPr>
          <w:b/>
          <w:sz w:val="28"/>
          <w:szCs w:val="28"/>
        </w:rPr>
      </w:pPr>
      <w:r w:rsidRPr="00F00CED">
        <w:rPr>
          <w:b/>
          <w:bCs/>
          <w:sz w:val="28"/>
          <w:szCs w:val="28"/>
        </w:rPr>
        <w:lastRenderedPageBreak/>
        <w:t>3</w:t>
      </w:r>
      <w:r w:rsidR="007B71D4" w:rsidRPr="00F00CED">
        <w:rPr>
          <w:b/>
          <w:bCs/>
          <w:sz w:val="28"/>
          <w:szCs w:val="28"/>
        </w:rPr>
        <w:t>.</w:t>
      </w:r>
      <w:r w:rsidR="00D04FC9" w:rsidRPr="00F00CED">
        <w:rPr>
          <w:b/>
          <w:bCs/>
          <w:sz w:val="28"/>
          <w:szCs w:val="28"/>
        </w:rPr>
        <w:t xml:space="preserve"> </w:t>
      </w:r>
      <w:r w:rsidR="004061EC" w:rsidRPr="00F00CED">
        <w:rPr>
          <w:b/>
          <w:bCs/>
          <w:sz w:val="28"/>
          <w:szCs w:val="28"/>
        </w:rPr>
        <w:t xml:space="preserve">Кассационное </w:t>
      </w:r>
      <w:r w:rsidR="004061EC" w:rsidRPr="00F00CED">
        <w:rPr>
          <w:b/>
          <w:sz w:val="28"/>
          <w:szCs w:val="28"/>
        </w:rPr>
        <w:t>о</w:t>
      </w:r>
      <w:r w:rsidR="00355CA6" w:rsidRPr="00F00CED">
        <w:rPr>
          <w:b/>
          <w:sz w:val="28"/>
          <w:szCs w:val="28"/>
        </w:rPr>
        <w:t xml:space="preserve">пределение </w:t>
      </w:r>
      <w:r w:rsidR="006A7458" w:rsidRPr="00F00CED">
        <w:rPr>
          <w:b/>
          <w:sz w:val="28"/>
          <w:szCs w:val="28"/>
        </w:rPr>
        <w:t xml:space="preserve">Судебной коллегии по административным делам </w:t>
      </w:r>
      <w:r w:rsidR="00355CA6" w:rsidRPr="00F00CED">
        <w:rPr>
          <w:b/>
          <w:sz w:val="28"/>
          <w:szCs w:val="28"/>
        </w:rPr>
        <w:t xml:space="preserve">Верховного Суда </w:t>
      </w:r>
      <w:r w:rsidR="004061EC" w:rsidRPr="00F00CED">
        <w:rPr>
          <w:b/>
          <w:sz w:val="28"/>
          <w:szCs w:val="28"/>
        </w:rPr>
        <w:t>от 15.11</w:t>
      </w:r>
      <w:r w:rsidR="00355CA6" w:rsidRPr="00F00CED">
        <w:rPr>
          <w:b/>
          <w:sz w:val="28"/>
          <w:szCs w:val="28"/>
        </w:rPr>
        <w:t xml:space="preserve">.2023 № </w:t>
      </w:r>
      <w:r w:rsidR="004061EC" w:rsidRPr="00F00CED">
        <w:rPr>
          <w:b/>
          <w:sz w:val="28"/>
          <w:szCs w:val="28"/>
        </w:rPr>
        <w:t>75-КАД23-5-К</w:t>
      </w:r>
      <w:r w:rsidR="006A7458" w:rsidRPr="00F00CED">
        <w:rPr>
          <w:b/>
          <w:sz w:val="28"/>
          <w:szCs w:val="28"/>
        </w:rPr>
        <w:t>3</w:t>
      </w:r>
    </w:p>
    <w:p w:rsidR="0087676C" w:rsidRPr="0087676C" w:rsidRDefault="0087676C" w:rsidP="0087676C">
      <w:pPr>
        <w:pStyle w:val="Default"/>
        <w:spacing w:line="340" w:lineRule="atLeast"/>
        <w:ind w:firstLine="567"/>
        <w:jc w:val="both"/>
        <w:rPr>
          <w:sz w:val="28"/>
          <w:szCs w:val="28"/>
        </w:rPr>
      </w:pPr>
      <w:r w:rsidRPr="0087676C">
        <w:rPr>
          <w:sz w:val="28"/>
          <w:szCs w:val="28"/>
        </w:rPr>
        <w:t>Из материалов дела следует, что ИФНС России по г. Петрозаводску (далее в настоящем пункте – инспекция, налоговый орган) произведено начисление физическому лицу (далее в настоящем пункте – заявитель, административный истец) земельного налога (далее в настоящем пункте – налог) на земельный участок за 2018 - 2020 годы с применением повышающего коэффициента 2, предусмотренного пунктом 15 статьи 396 Кодекса.</w:t>
      </w:r>
    </w:p>
    <w:p w:rsidR="0087676C" w:rsidRPr="0087676C" w:rsidRDefault="0087676C" w:rsidP="0087676C">
      <w:pPr>
        <w:pStyle w:val="Default"/>
        <w:spacing w:line="340" w:lineRule="atLeast"/>
        <w:ind w:firstLine="567"/>
        <w:jc w:val="both"/>
        <w:rPr>
          <w:sz w:val="28"/>
          <w:szCs w:val="28"/>
        </w:rPr>
      </w:pPr>
      <w:r w:rsidRPr="0087676C">
        <w:rPr>
          <w:sz w:val="28"/>
          <w:szCs w:val="28"/>
        </w:rPr>
        <w:t>Заявитель обратился в налоговый орган с заявлением о перерасчете размера налога, в чем ему было отказано.</w:t>
      </w:r>
    </w:p>
    <w:p w:rsidR="0087676C" w:rsidRPr="0087676C" w:rsidRDefault="0087676C" w:rsidP="0087676C">
      <w:pPr>
        <w:pStyle w:val="Default"/>
        <w:spacing w:line="340" w:lineRule="atLeast"/>
        <w:ind w:firstLine="567"/>
        <w:jc w:val="both"/>
        <w:rPr>
          <w:sz w:val="28"/>
          <w:szCs w:val="28"/>
        </w:rPr>
      </w:pPr>
      <w:r w:rsidRPr="0087676C">
        <w:rPr>
          <w:sz w:val="28"/>
          <w:szCs w:val="28"/>
        </w:rPr>
        <w:t>В административном исковом заявлении заявитель просил суд признать незаконным решение налогового органа об отказе в перерасчете налога и обязать налоговый орган произвести перерасчет суммы земельного налога для земельного участка за 2018 - 2020 годы без применения повышающего коэффициента. Суть доводов заявителя сводилась к тому, что налоговый орган применил повышающий коэффициент, предусмотренный пунктом 15 статьи 396 Кодекса, неправомерно, поскольку административным истцом осуществлено индивидуальное жилищное строительство для улучшения жилищно-бытовых условий своей семьи.</w:t>
      </w:r>
    </w:p>
    <w:p w:rsidR="0087676C" w:rsidRPr="0087676C" w:rsidRDefault="0087676C" w:rsidP="0087676C">
      <w:pPr>
        <w:pStyle w:val="Default"/>
        <w:spacing w:line="340" w:lineRule="atLeast"/>
        <w:ind w:firstLine="567"/>
        <w:jc w:val="both"/>
        <w:rPr>
          <w:sz w:val="28"/>
          <w:szCs w:val="28"/>
        </w:rPr>
      </w:pPr>
      <w:r w:rsidRPr="0087676C">
        <w:rPr>
          <w:sz w:val="28"/>
          <w:szCs w:val="28"/>
        </w:rPr>
        <w:t>В подтверждение нарушенных прав заявитель ссылался на договор купли-продажи жилого дома и земельного участка от 08.06.2018, на основании которого он стал собственником (доля в праве 78/100) жилого дома 1958 года постройки и земельного участка, право собственности на который зарегистрировано 29.06.2018, вид разрешенного использования земельного участка: для индивидуальной жилой застройки (эксплуатации жилого дома).</w:t>
      </w:r>
    </w:p>
    <w:p w:rsidR="0087676C" w:rsidRPr="0087676C" w:rsidRDefault="0087676C" w:rsidP="0087676C">
      <w:pPr>
        <w:pStyle w:val="Default"/>
        <w:spacing w:line="340" w:lineRule="atLeast"/>
        <w:ind w:firstLine="567"/>
        <w:jc w:val="both"/>
        <w:rPr>
          <w:sz w:val="28"/>
          <w:szCs w:val="28"/>
        </w:rPr>
      </w:pPr>
      <w:r w:rsidRPr="0087676C">
        <w:rPr>
          <w:sz w:val="28"/>
          <w:szCs w:val="28"/>
        </w:rPr>
        <w:t>В 2018 году между заявителем и сособственником заключено соглашение о разделе земельного участка на четыре части с сохранением их долей права на образуемые земельные участки (сособственник 22/100 доли и заявитель 78/100 доли в каждом).</w:t>
      </w:r>
    </w:p>
    <w:p w:rsidR="0087676C" w:rsidRPr="0087676C" w:rsidRDefault="0087676C" w:rsidP="0087676C">
      <w:pPr>
        <w:pStyle w:val="Default"/>
        <w:spacing w:line="340" w:lineRule="atLeast"/>
        <w:ind w:firstLine="567"/>
        <w:jc w:val="both"/>
        <w:rPr>
          <w:sz w:val="28"/>
          <w:szCs w:val="28"/>
        </w:rPr>
      </w:pPr>
      <w:r w:rsidRPr="0087676C">
        <w:rPr>
          <w:sz w:val="28"/>
          <w:szCs w:val="28"/>
        </w:rPr>
        <w:t>Право долевой собственности заявителя и сособственника на земельный участок зарегистрировано 24.07.2018, разрешенное использование данного земельного участка «Жилые дома блокированной застройки, территориальная зона ЖИ. Зона застройки индивидуальными и жилыми домами блокированной застройки», что подтверждается выпиской из Единого государственного реестра недвижимости (далее – ЕГРН).</w:t>
      </w:r>
    </w:p>
    <w:p w:rsidR="0087676C" w:rsidRPr="0087676C" w:rsidRDefault="0087676C" w:rsidP="0087676C">
      <w:pPr>
        <w:pStyle w:val="Default"/>
        <w:spacing w:line="340" w:lineRule="atLeast"/>
        <w:ind w:firstLine="567"/>
        <w:jc w:val="both"/>
        <w:rPr>
          <w:sz w:val="28"/>
          <w:szCs w:val="28"/>
        </w:rPr>
      </w:pPr>
      <w:r w:rsidRPr="0087676C">
        <w:rPr>
          <w:sz w:val="28"/>
          <w:szCs w:val="28"/>
        </w:rPr>
        <w:t>Согласно выписке из ЕГРН от 05.06.2020 заявитель является единственным собственником указанного земельного участка.</w:t>
      </w:r>
    </w:p>
    <w:p w:rsidR="0087676C" w:rsidRPr="0087676C" w:rsidRDefault="0087676C" w:rsidP="0087676C">
      <w:pPr>
        <w:pStyle w:val="Default"/>
        <w:spacing w:line="340" w:lineRule="atLeast"/>
        <w:ind w:firstLine="567"/>
        <w:jc w:val="both"/>
        <w:rPr>
          <w:sz w:val="28"/>
          <w:szCs w:val="28"/>
        </w:rPr>
      </w:pPr>
      <w:r w:rsidRPr="0087676C">
        <w:rPr>
          <w:sz w:val="28"/>
          <w:szCs w:val="28"/>
        </w:rPr>
        <w:t>На указанном земельном участке расположен автономный жилой блок жилого дома блокированной застройки, право собственности на который зарегистрировано согласно сведениям ЕГРН 17.11.2021.</w:t>
      </w:r>
    </w:p>
    <w:p w:rsidR="0087676C" w:rsidRPr="0087676C" w:rsidRDefault="0087676C" w:rsidP="0087676C">
      <w:pPr>
        <w:pStyle w:val="Default"/>
        <w:spacing w:line="340" w:lineRule="atLeast"/>
        <w:ind w:firstLine="567"/>
        <w:jc w:val="both"/>
        <w:rPr>
          <w:sz w:val="28"/>
          <w:szCs w:val="28"/>
        </w:rPr>
      </w:pPr>
      <w:r w:rsidRPr="0087676C">
        <w:rPr>
          <w:sz w:val="28"/>
          <w:szCs w:val="28"/>
        </w:rPr>
        <w:t>Решением Петрозаводского городского суда Республики Карелия от 30.05.2022, оставленным без изменения апелляционным определением судебной коллегии по</w:t>
      </w:r>
      <w:r>
        <w:rPr>
          <w:sz w:val="28"/>
          <w:szCs w:val="28"/>
        </w:rPr>
        <w:t xml:space="preserve"> </w:t>
      </w:r>
      <w:r w:rsidRPr="0087676C">
        <w:rPr>
          <w:sz w:val="28"/>
          <w:szCs w:val="28"/>
        </w:rPr>
        <w:lastRenderedPageBreak/>
        <w:t>административным делам Верховного Суда Республики Карелия от 28.07.2022, в удовлетворении административного искового заявления отказано.</w:t>
      </w:r>
    </w:p>
    <w:p w:rsidR="0087676C" w:rsidRPr="0087676C" w:rsidRDefault="0087676C" w:rsidP="0087676C">
      <w:pPr>
        <w:pStyle w:val="Default"/>
        <w:spacing w:line="340" w:lineRule="atLeast"/>
        <w:ind w:firstLine="567"/>
        <w:jc w:val="both"/>
        <w:rPr>
          <w:sz w:val="28"/>
          <w:szCs w:val="28"/>
        </w:rPr>
      </w:pPr>
      <w:r w:rsidRPr="0087676C">
        <w:rPr>
          <w:sz w:val="28"/>
          <w:szCs w:val="28"/>
        </w:rPr>
        <w:t>Суды первой и апелляционной инстанций, установив, что право собственности заявителя на земельный участок зарегистрировано 24.07.2018 с видом разрешенного использования «Жилые дома блокированной застройки, территориальная зона ЖИ. Зона застройки индивидуальными и жилыми домами блокированной застройки» и имеется разрешение на ввод в эксплуатацию автономного жилого блока жилого дома блокированной застройки от 29.09.2021, посчитали, что при таких данных у налогового органа имелись основания для отказа в перерасчете земельного налога, исчисленного за 2018 - 2020 годы с применением повышающего коэффициента.</w:t>
      </w:r>
    </w:p>
    <w:p w:rsidR="0087676C" w:rsidRPr="0087676C" w:rsidRDefault="0087676C" w:rsidP="0087676C">
      <w:pPr>
        <w:pStyle w:val="Default"/>
        <w:spacing w:line="340" w:lineRule="atLeast"/>
        <w:ind w:firstLine="567"/>
        <w:jc w:val="both"/>
        <w:rPr>
          <w:sz w:val="28"/>
          <w:szCs w:val="28"/>
        </w:rPr>
      </w:pPr>
      <w:r w:rsidRPr="0087676C">
        <w:rPr>
          <w:sz w:val="28"/>
          <w:szCs w:val="28"/>
        </w:rPr>
        <w:t>Кассационным определением судебной коллегии по административным делам Третьего кассационного суда общей юрисдикции от 16.11.2022 судебные акты судов первой и апелляционной инстанций отменены, по делу принято новое решение об удовлетворении административного иска.</w:t>
      </w:r>
    </w:p>
    <w:p w:rsidR="0087676C" w:rsidRPr="0087676C" w:rsidRDefault="0087676C" w:rsidP="0087676C">
      <w:pPr>
        <w:pStyle w:val="Default"/>
        <w:spacing w:line="340" w:lineRule="atLeast"/>
        <w:ind w:firstLine="567"/>
        <w:jc w:val="both"/>
        <w:rPr>
          <w:sz w:val="28"/>
          <w:szCs w:val="28"/>
        </w:rPr>
      </w:pPr>
      <w:r w:rsidRPr="0087676C">
        <w:rPr>
          <w:sz w:val="28"/>
          <w:szCs w:val="28"/>
        </w:rPr>
        <w:t>Отменяя обжалуемые судебные акты, суд кассационной инстанции, напротив, исходил из того, что при изложенных выше обстоятельствах применение повышающего коэффициента является необоснованным.</w:t>
      </w:r>
    </w:p>
    <w:p w:rsidR="0087676C" w:rsidRPr="0087676C" w:rsidRDefault="0087676C" w:rsidP="0087676C">
      <w:pPr>
        <w:pStyle w:val="Default"/>
        <w:spacing w:line="340" w:lineRule="atLeast"/>
        <w:ind w:firstLine="567"/>
        <w:jc w:val="both"/>
        <w:rPr>
          <w:sz w:val="28"/>
          <w:szCs w:val="28"/>
        </w:rPr>
      </w:pPr>
      <w:r w:rsidRPr="0087676C">
        <w:rPr>
          <w:sz w:val="28"/>
          <w:szCs w:val="28"/>
        </w:rPr>
        <w:t>В кассационной жалобе, адресованной Верховному Суду, УФНС по Республике Карелия поставлен вопрос о передаче кассационной жалобы вместе с делом для рассмотрения в судебном заседании Судебной коллегии по административным делам с целью отмены кассационного определения судебной коллегии по административным делам Третьего кассационного суда общей юрисдикции и оставлении в силе решения Петрозаводского городского суда Республики Карелия и апелляционного определения Судебной коллегии по административным делам Верховного Суда Республики Карелия.</w:t>
      </w:r>
    </w:p>
    <w:p w:rsidR="0087676C" w:rsidRPr="0087676C" w:rsidRDefault="0087676C" w:rsidP="0087676C">
      <w:pPr>
        <w:pStyle w:val="Default"/>
        <w:spacing w:line="340" w:lineRule="atLeast"/>
        <w:ind w:firstLine="567"/>
        <w:jc w:val="both"/>
        <w:rPr>
          <w:sz w:val="28"/>
          <w:szCs w:val="28"/>
        </w:rPr>
      </w:pPr>
      <w:r w:rsidRPr="0087676C">
        <w:rPr>
          <w:sz w:val="28"/>
          <w:szCs w:val="28"/>
        </w:rPr>
        <w:t>По запросу судьи Верховного Суда кассационная жалоба с делом передана для рассмотрения в судебном заседании Судебной коллегии по административным делам Верховного Суда (далее – Судебная коллегия по административным делам).</w:t>
      </w:r>
    </w:p>
    <w:p w:rsidR="0087676C" w:rsidRPr="0087676C" w:rsidRDefault="0087676C" w:rsidP="0087676C">
      <w:pPr>
        <w:pStyle w:val="Default"/>
        <w:spacing w:line="340" w:lineRule="atLeast"/>
        <w:ind w:firstLine="567"/>
        <w:jc w:val="both"/>
        <w:rPr>
          <w:sz w:val="28"/>
          <w:szCs w:val="28"/>
        </w:rPr>
      </w:pPr>
      <w:r w:rsidRPr="0087676C">
        <w:rPr>
          <w:sz w:val="28"/>
          <w:szCs w:val="28"/>
        </w:rPr>
        <w:t>Проверив материалы дела, обсудив доводы кассационной жалобы, Судебная коллегия по административным делам пришла к следующему.</w:t>
      </w:r>
    </w:p>
    <w:p w:rsidR="0087676C" w:rsidRPr="0087676C" w:rsidRDefault="0087676C" w:rsidP="0087676C">
      <w:pPr>
        <w:pStyle w:val="Default"/>
        <w:spacing w:line="340" w:lineRule="atLeast"/>
        <w:ind w:firstLine="567"/>
        <w:jc w:val="both"/>
        <w:rPr>
          <w:sz w:val="28"/>
          <w:szCs w:val="28"/>
        </w:rPr>
      </w:pPr>
      <w:r w:rsidRPr="0087676C">
        <w:rPr>
          <w:sz w:val="28"/>
          <w:szCs w:val="28"/>
        </w:rPr>
        <w:t>В силу статьи 394 Кодекса налоговые ставки, устанавливаемые нормативными правовыми актами представительных органов муниципальных образований, не могут превышать 0,3 процента в отношении земельных участков, занятых жилищным фондом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используемого в предпринимательской деятельности).</w:t>
      </w:r>
    </w:p>
    <w:p w:rsidR="0087676C" w:rsidRPr="0087676C" w:rsidRDefault="0087676C" w:rsidP="0087676C">
      <w:pPr>
        <w:pStyle w:val="Default"/>
        <w:spacing w:line="340" w:lineRule="atLeast"/>
        <w:ind w:firstLine="567"/>
        <w:jc w:val="both"/>
        <w:rPr>
          <w:sz w:val="28"/>
          <w:szCs w:val="28"/>
        </w:rPr>
      </w:pPr>
      <w:r w:rsidRPr="0087676C">
        <w:rPr>
          <w:sz w:val="28"/>
          <w:szCs w:val="28"/>
        </w:rPr>
        <w:t>Согласно пункту 15 статьи 396 Кодекса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w:t>
      </w:r>
      <w:r>
        <w:rPr>
          <w:sz w:val="28"/>
          <w:szCs w:val="28"/>
        </w:rPr>
        <w:t xml:space="preserve"> </w:t>
      </w:r>
      <w:r w:rsidRPr="0087676C">
        <w:rPr>
          <w:sz w:val="28"/>
          <w:szCs w:val="28"/>
        </w:rPr>
        <w:lastRenderedPageBreak/>
        <w:t>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87676C" w:rsidRPr="0087676C" w:rsidRDefault="0087676C" w:rsidP="0087676C">
      <w:pPr>
        <w:pStyle w:val="Default"/>
        <w:spacing w:line="340" w:lineRule="atLeast"/>
        <w:ind w:firstLine="567"/>
        <w:jc w:val="both"/>
        <w:rPr>
          <w:sz w:val="28"/>
          <w:szCs w:val="28"/>
        </w:rPr>
      </w:pPr>
      <w:r w:rsidRPr="0087676C">
        <w:rPr>
          <w:sz w:val="28"/>
          <w:szCs w:val="28"/>
        </w:rPr>
        <w:t>В случае государственной регистрации прав на построенный объект недвижимости до истечения трехлетнего срока сумма налога, исчисленного за период применения коэффициента 2, подлежит перерасчету с учетом коэффициента 1.</w:t>
      </w:r>
    </w:p>
    <w:p w:rsidR="0087676C" w:rsidRPr="0087676C" w:rsidRDefault="0087676C" w:rsidP="0087676C">
      <w:pPr>
        <w:pStyle w:val="Default"/>
        <w:spacing w:line="340" w:lineRule="atLeast"/>
        <w:ind w:firstLine="567"/>
        <w:jc w:val="both"/>
        <w:rPr>
          <w:sz w:val="28"/>
          <w:szCs w:val="28"/>
        </w:rPr>
      </w:pPr>
      <w:r w:rsidRPr="0087676C">
        <w:rPr>
          <w:sz w:val="28"/>
          <w:szCs w:val="28"/>
        </w:rPr>
        <w:t>В соответствии с пунктом 16 этой же статьи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87676C" w:rsidRPr="0087676C" w:rsidRDefault="0087676C" w:rsidP="0087676C">
      <w:pPr>
        <w:pStyle w:val="Default"/>
        <w:spacing w:line="340" w:lineRule="atLeast"/>
        <w:ind w:firstLine="567"/>
        <w:jc w:val="both"/>
        <w:rPr>
          <w:sz w:val="28"/>
          <w:szCs w:val="28"/>
        </w:rPr>
      </w:pPr>
      <w:r w:rsidRPr="0087676C">
        <w:rPr>
          <w:sz w:val="28"/>
          <w:szCs w:val="28"/>
        </w:rPr>
        <w:t>Понятие индивидуального жилищного строительства Кодекс не содержит.</w:t>
      </w:r>
    </w:p>
    <w:p w:rsidR="0087676C" w:rsidRPr="0087676C" w:rsidRDefault="0087676C" w:rsidP="0087676C">
      <w:pPr>
        <w:pStyle w:val="Default"/>
        <w:spacing w:line="340" w:lineRule="atLeast"/>
        <w:ind w:firstLine="567"/>
        <w:jc w:val="both"/>
        <w:rPr>
          <w:sz w:val="28"/>
          <w:szCs w:val="28"/>
        </w:rPr>
      </w:pPr>
      <w:r w:rsidRPr="0087676C">
        <w:rPr>
          <w:sz w:val="28"/>
          <w:szCs w:val="28"/>
        </w:rPr>
        <w:t>В соответствии со статьей 11 Кодекса институты, понятия и термины гражданского, семейного и других отраслей законодательства Российской Федерации, используемые в Кодексе, применяются в том значении, в каком они используются в этих отраслях законодательства, если иное не предусмотрено Кодексом.</w:t>
      </w:r>
    </w:p>
    <w:p w:rsidR="0087676C" w:rsidRPr="0087676C" w:rsidRDefault="0087676C" w:rsidP="0087676C">
      <w:pPr>
        <w:pStyle w:val="Default"/>
        <w:spacing w:line="340" w:lineRule="atLeast"/>
        <w:ind w:firstLine="567"/>
        <w:jc w:val="both"/>
        <w:rPr>
          <w:sz w:val="28"/>
          <w:szCs w:val="28"/>
        </w:rPr>
      </w:pPr>
      <w:r w:rsidRPr="0087676C">
        <w:rPr>
          <w:sz w:val="28"/>
          <w:szCs w:val="28"/>
        </w:rPr>
        <w:t>Согласно приложению к СП 30-102-99 «Свод правил по проектированию и строительству. Планировка и застройка территорий малоэтажного жилищного строительства» 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7676C" w:rsidRPr="0087676C" w:rsidRDefault="0087676C" w:rsidP="0087676C">
      <w:pPr>
        <w:pStyle w:val="Default"/>
        <w:spacing w:line="340" w:lineRule="atLeast"/>
        <w:ind w:firstLine="567"/>
        <w:jc w:val="both"/>
        <w:rPr>
          <w:sz w:val="28"/>
          <w:szCs w:val="28"/>
        </w:rPr>
      </w:pPr>
      <w:r w:rsidRPr="0087676C">
        <w:rPr>
          <w:sz w:val="28"/>
          <w:szCs w:val="28"/>
        </w:rPr>
        <w:t>Как отмечено Судебной коллегией по административным делам,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Кодексе, других федеральных законах и иных нормативных правовых актах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5149A" w:rsidRDefault="0087676C" w:rsidP="0087676C">
      <w:pPr>
        <w:pStyle w:val="Default"/>
        <w:spacing w:line="340" w:lineRule="atLeast"/>
        <w:ind w:firstLine="567"/>
        <w:jc w:val="both"/>
        <w:rPr>
          <w:sz w:val="28"/>
          <w:szCs w:val="28"/>
        </w:rPr>
      </w:pPr>
      <w:r w:rsidRPr="0087676C">
        <w:rPr>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(пункты 39, 40 статьи 1 Градостроительного кодекса Российской Федерации).</w:t>
      </w:r>
    </w:p>
    <w:p w:rsidR="0087676C" w:rsidRPr="0087676C" w:rsidRDefault="0087676C" w:rsidP="0087676C">
      <w:pPr>
        <w:pStyle w:val="Default"/>
        <w:spacing w:line="340" w:lineRule="atLeast"/>
        <w:ind w:firstLine="567"/>
        <w:jc w:val="both"/>
        <w:rPr>
          <w:sz w:val="28"/>
          <w:szCs w:val="28"/>
        </w:rPr>
      </w:pPr>
      <w:r w:rsidRPr="0087676C">
        <w:rPr>
          <w:sz w:val="28"/>
          <w:szCs w:val="28"/>
        </w:rPr>
        <w:lastRenderedPageBreak/>
        <w:t>По мнению Судебной коллегии по административным делам, анализ приведенных выше федеральных норм в их системной взаимосвязи дает основание полагать, что повышенный коэффициент может применяться в отношении земельных участков, которые в установленный срок не освоены в соответствии с целевым назначением и условиями приобретения (предоставления) под жилищное строительство.</w:t>
      </w:r>
    </w:p>
    <w:p w:rsidR="0087676C" w:rsidRPr="0087676C" w:rsidRDefault="0087676C" w:rsidP="0087676C">
      <w:pPr>
        <w:pStyle w:val="Default"/>
        <w:spacing w:line="340" w:lineRule="atLeast"/>
        <w:ind w:firstLine="567"/>
        <w:jc w:val="both"/>
        <w:rPr>
          <w:sz w:val="28"/>
          <w:szCs w:val="28"/>
        </w:rPr>
      </w:pPr>
      <w:r w:rsidRPr="0087676C">
        <w:rPr>
          <w:sz w:val="28"/>
          <w:szCs w:val="28"/>
        </w:rPr>
        <w:t>Судебная коллегия по административным делам обратила внимание, что момент применения повышающего коэффициента к ставке налога обусловлен характером жилищного строительства: либо индивидуальное жилищное строительство, осуществляемое физическим лицом для обеспечения и улучшения своих собственных жилищно-бытовых нужд, а не для предпринимательских целей, либо это так называемое массовое жилищное строительство разных видов и типов домов как индивидуальных, так и домов блокированной застройки, многоквартирных домов в процессе осуществления предпринимательской деятельности, в том числе с привлечением денежных средств.</w:t>
      </w:r>
    </w:p>
    <w:p w:rsidR="0087676C" w:rsidRPr="0087676C" w:rsidRDefault="0087676C" w:rsidP="0087676C">
      <w:pPr>
        <w:pStyle w:val="Default"/>
        <w:spacing w:line="340" w:lineRule="atLeast"/>
        <w:ind w:firstLine="567"/>
        <w:jc w:val="both"/>
        <w:rPr>
          <w:sz w:val="28"/>
          <w:szCs w:val="28"/>
        </w:rPr>
      </w:pPr>
      <w:r w:rsidRPr="0087676C">
        <w:rPr>
          <w:sz w:val="28"/>
          <w:szCs w:val="28"/>
        </w:rPr>
        <w:t>Таким образом, при разрешении судом вопроса о законности применения повышенного коэффициента при исчислении налога имеет значение выяснение и установление целевого использования земельного участка, степень его освоения, наличие или отсутствие построенного объекта жилищного строительства, а также характер строительства: индивидуальное жилищное строительство физическим лицом или строительство, осуществляемое в процессе предпринимательской деятельности.</w:t>
      </w:r>
    </w:p>
    <w:p w:rsidR="0087676C" w:rsidRPr="0087676C" w:rsidRDefault="0087676C" w:rsidP="0087676C">
      <w:pPr>
        <w:pStyle w:val="Default"/>
        <w:spacing w:line="340" w:lineRule="atLeast"/>
        <w:ind w:firstLine="567"/>
        <w:jc w:val="both"/>
        <w:rPr>
          <w:sz w:val="28"/>
          <w:szCs w:val="28"/>
        </w:rPr>
      </w:pPr>
      <w:r w:rsidRPr="0087676C">
        <w:rPr>
          <w:sz w:val="28"/>
          <w:szCs w:val="28"/>
        </w:rPr>
        <w:t>Как указано Судебной коллегией по административным делам, иное толкование приведенных выше положений, регулирующих спорное правоотношение, превращает применение повышающего коэффициента из стимулирующего в ограничивающий эффект, поскольку удерживает гражданина в намерении быть инициативным и причастным в улучшении своих жилищных условий путем индивидуального жилищного строительства жилого дома, что не соответствует целям и задачам жилищной политики государства.</w:t>
      </w:r>
    </w:p>
    <w:p w:rsidR="0087676C" w:rsidRPr="0087676C" w:rsidRDefault="0087676C" w:rsidP="0087676C">
      <w:pPr>
        <w:pStyle w:val="Default"/>
        <w:spacing w:line="340" w:lineRule="atLeast"/>
        <w:ind w:firstLine="567"/>
        <w:jc w:val="both"/>
        <w:rPr>
          <w:sz w:val="28"/>
          <w:szCs w:val="28"/>
        </w:rPr>
      </w:pPr>
      <w:r w:rsidRPr="0087676C">
        <w:rPr>
          <w:sz w:val="28"/>
          <w:szCs w:val="28"/>
        </w:rPr>
        <w:t>При этом судебными инстанциями это не было учтено, что повлияло на исход административного дела, судом не была дана надлежащая правовая оценка тому обстоятельству, что спорный земельный участок с видом разрешенного использования «Жилые дома блокированной застройки, территориальная зона ЖИ. Зона застройки индивидуальными и жилыми домами блокированной застройки» образован при разделе исходного земельного участка с видом разрешенного использования «для индивидуальной жилой застройки».</w:t>
      </w:r>
    </w:p>
    <w:p w:rsidR="0087676C" w:rsidRPr="0087676C" w:rsidRDefault="0087676C" w:rsidP="0087676C">
      <w:pPr>
        <w:pStyle w:val="Default"/>
        <w:spacing w:line="340" w:lineRule="atLeast"/>
        <w:ind w:firstLine="567"/>
        <w:jc w:val="both"/>
        <w:rPr>
          <w:sz w:val="28"/>
          <w:szCs w:val="28"/>
        </w:rPr>
      </w:pPr>
      <w:r w:rsidRPr="0087676C">
        <w:rPr>
          <w:sz w:val="28"/>
          <w:szCs w:val="28"/>
        </w:rPr>
        <w:t>Выясняя вопрос о влиянии способа приобретения (предоставления) земельного участка на применение повышенного коэффициента при исчислении налога на землю, положения пункта 3 статьи 11.2 Земельного кодекса Российской Федерации, подлежащего применению в настоящем деле, не применили, в связи с чем хронологическая последовательность целевого использования спорного земельного участка судом не проверена, соответствующие документы в полном объеме не</w:t>
      </w:r>
      <w:r>
        <w:rPr>
          <w:sz w:val="28"/>
          <w:szCs w:val="28"/>
        </w:rPr>
        <w:t xml:space="preserve"> </w:t>
      </w:r>
      <w:r w:rsidRPr="0087676C">
        <w:rPr>
          <w:sz w:val="28"/>
          <w:szCs w:val="28"/>
        </w:rPr>
        <w:lastRenderedPageBreak/>
        <w:t>исследованы, как следствие суды так и не уверились, могли ли повлиять одновременный раздел земельного участка и изменение вида разрешенного использования на характер строительства.</w:t>
      </w:r>
    </w:p>
    <w:p w:rsidR="0087676C" w:rsidRPr="0087676C" w:rsidRDefault="0087676C" w:rsidP="0087676C">
      <w:pPr>
        <w:pStyle w:val="Default"/>
        <w:spacing w:line="340" w:lineRule="atLeast"/>
        <w:ind w:firstLine="567"/>
        <w:jc w:val="both"/>
        <w:rPr>
          <w:sz w:val="28"/>
          <w:szCs w:val="28"/>
        </w:rPr>
      </w:pPr>
      <w:r w:rsidRPr="0087676C">
        <w:rPr>
          <w:sz w:val="28"/>
          <w:szCs w:val="28"/>
        </w:rPr>
        <w:t>Как видно из материалов дела, суды выясняя вопрос о характеристиках построенного объекта недвижимости, пришли к выводу о том, что построенный административным истцом жилой дом является объектом малоэтажной застройки.</w:t>
      </w:r>
    </w:p>
    <w:p w:rsidR="0087676C" w:rsidRPr="0087676C" w:rsidRDefault="0087676C" w:rsidP="0087676C">
      <w:pPr>
        <w:pStyle w:val="Default"/>
        <w:spacing w:line="340" w:lineRule="atLeast"/>
        <w:ind w:firstLine="567"/>
        <w:jc w:val="both"/>
        <w:rPr>
          <w:sz w:val="28"/>
          <w:szCs w:val="28"/>
        </w:rPr>
      </w:pPr>
      <w:r w:rsidRPr="0087676C">
        <w:rPr>
          <w:sz w:val="28"/>
          <w:szCs w:val="28"/>
        </w:rPr>
        <w:t>Вывод суда сделан без учета того, что законодатель, предусматривая особенности строительства жилого дома блокированной застройки (получение разрешения на строительство, на ввод в эксплуатацию), тем не менее не рассматривает жилой дом блокированной застройки в качестве жилого помещения (квартиры) в многоквартирном доме, параметры жилого блока дома блокированной застройки, количество надземных этажей, высота не более 20 метров, в том числе формирование земельного участка в отношении каждого блока в отдельности, тем самым сближает его со статусом индивидуального жилого дома (статьи 49, 51 Градостроительного кодекса Российской Федерации).</w:t>
      </w:r>
    </w:p>
    <w:p w:rsidR="0087676C" w:rsidRPr="0087676C" w:rsidRDefault="0087676C" w:rsidP="0087676C">
      <w:pPr>
        <w:pStyle w:val="Default"/>
        <w:spacing w:line="340" w:lineRule="atLeast"/>
        <w:ind w:firstLine="567"/>
        <w:jc w:val="both"/>
        <w:rPr>
          <w:sz w:val="28"/>
          <w:szCs w:val="28"/>
        </w:rPr>
      </w:pPr>
      <w:r w:rsidRPr="0087676C">
        <w:rPr>
          <w:sz w:val="28"/>
          <w:szCs w:val="28"/>
        </w:rPr>
        <w:t>При таких обстоятельствах Судебная коллегия по административным делам пришла к выводу, что нельзя признать законным и обоснованным, отвечающим задачам и принципам административного судопроизводства, обжалуемый судебный акт, а потому он подлежит отмене с направлением дела в тот же суд на новое рассмотрение.</w:t>
      </w:r>
    </w:p>
    <w:p w:rsidR="0087676C" w:rsidRDefault="0087676C" w:rsidP="0087676C">
      <w:pPr>
        <w:pStyle w:val="Default"/>
        <w:spacing w:line="340" w:lineRule="atLeast"/>
        <w:ind w:firstLine="567"/>
        <w:jc w:val="both"/>
        <w:rPr>
          <w:sz w:val="28"/>
          <w:szCs w:val="28"/>
        </w:rPr>
      </w:pPr>
      <w:r w:rsidRPr="0087676C">
        <w:rPr>
          <w:sz w:val="28"/>
          <w:szCs w:val="28"/>
        </w:rPr>
        <w:t>В связи с изложенным Судебная коллегия по административным делам, руководствуясь статьями 328, 329, 330 Кодекса административного судопроизводства Российской Федерации, отменила обжалуемый судебный акт и направила дело на новое рассмотрение в тот же суд.</w:t>
      </w:r>
    </w:p>
    <w:p w:rsidR="0087676C" w:rsidRPr="00F00CED" w:rsidRDefault="0087676C" w:rsidP="0087676C">
      <w:pPr>
        <w:pStyle w:val="Default"/>
        <w:spacing w:line="340" w:lineRule="atLeast"/>
        <w:ind w:firstLine="567"/>
        <w:jc w:val="both"/>
        <w:rPr>
          <w:sz w:val="28"/>
          <w:szCs w:val="28"/>
        </w:rPr>
      </w:pPr>
    </w:p>
    <w:p w:rsidR="00BB35C0" w:rsidRDefault="00D276D2" w:rsidP="0087676C">
      <w:pPr>
        <w:pStyle w:val="Default"/>
        <w:spacing w:line="340" w:lineRule="atLeast"/>
        <w:ind w:firstLine="567"/>
        <w:jc w:val="both"/>
        <w:rPr>
          <w:b/>
          <w:color w:val="auto"/>
          <w:sz w:val="28"/>
          <w:szCs w:val="28"/>
        </w:rPr>
      </w:pPr>
      <w:r w:rsidRPr="00F00CED">
        <w:rPr>
          <w:b/>
          <w:sz w:val="28"/>
          <w:szCs w:val="28"/>
        </w:rPr>
        <w:t>4</w:t>
      </w:r>
      <w:r w:rsidR="00FF74B4" w:rsidRPr="00F00CED">
        <w:rPr>
          <w:b/>
          <w:color w:val="auto"/>
          <w:sz w:val="28"/>
          <w:szCs w:val="28"/>
        </w:rPr>
        <w:t>.</w:t>
      </w:r>
      <w:r w:rsidR="00BB35C0" w:rsidRPr="00F00CED">
        <w:rPr>
          <w:b/>
          <w:color w:val="auto"/>
          <w:sz w:val="28"/>
          <w:szCs w:val="28"/>
        </w:rPr>
        <w:t xml:space="preserve"> Определение Верховного Суда от 04.12.2023 № 309-ЭС23-23156 </w:t>
      </w:r>
      <w:r w:rsidR="009336BA" w:rsidRPr="00F00CED">
        <w:rPr>
          <w:b/>
          <w:color w:val="auto"/>
          <w:sz w:val="28"/>
          <w:szCs w:val="28"/>
        </w:rPr>
        <w:t>по делу № А47-6915/2019</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Из материалов дела следует, что ООО (далее в настоящем пункте – общество, налогоплательщик) обратилось в Арбитражный суд Оренбургской области с заявлением о признании недействительным решения налогового органа о привлечении к ответственности за совершение налогового правонарушения, в том числе в части доначисления налога на имущество организаций (далее в настоящем пункте – налог) за 2014 -2016 годы.</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 xml:space="preserve">Основанием для принятия оспариваемого решения послужил в том числе вывод налогового органа о необоснованном применении обществом пониженной ставки по налогу, установленной пунктом 3 статьи 380 Кодекса в редакции, действовавшей в спорный период, в отношении имущества (линии электропередач и электрические сети различных классов напряжения (10 </w:t>
      </w:r>
      <w:proofErr w:type="spellStart"/>
      <w:r w:rsidRPr="0087676C">
        <w:rPr>
          <w:color w:val="auto"/>
          <w:sz w:val="28"/>
          <w:szCs w:val="28"/>
        </w:rPr>
        <w:t>кВ</w:t>
      </w:r>
      <w:proofErr w:type="spellEnd"/>
      <w:r w:rsidRPr="0087676C">
        <w:rPr>
          <w:color w:val="auto"/>
          <w:sz w:val="28"/>
          <w:szCs w:val="28"/>
        </w:rPr>
        <w:t xml:space="preserve">, 6 </w:t>
      </w:r>
      <w:proofErr w:type="spellStart"/>
      <w:r w:rsidRPr="0087676C">
        <w:rPr>
          <w:color w:val="auto"/>
          <w:sz w:val="28"/>
          <w:szCs w:val="28"/>
        </w:rPr>
        <w:t>кВ</w:t>
      </w:r>
      <w:proofErr w:type="spellEnd"/>
      <w:r w:rsidRPr="0087676C">
        <w:rPr>
          <w:color w:val="auto"/>
          <w:sz w:val="28"/>
          <w:szCs w:val="28"/>
        </w:rPr>
        <w:t>) различных потребителей; комплектные распределительные устройства (КРУ); комплектные трансформаторные подстанции (КТП); элементы трансформаторных подстанций (ТП); блочные комплектные электрические сооружения (БКЭС); сети электроснабжения и установки электрохимической защиты оборудования; трансформаторы; устройства частотного</w:t>
      </w:r>
      <w:r>
        <w:rPr>
          <w:color w:val="auto"/>
          <w:sz w:val="28"/>
          <w:szCs w:val="28"/>
        </w:rPr>
        <w:t xml:space="preserve"> </w:t>
      </w:r>
      <w:r w:rsidRPr="0087676C">
        <w:rPr>
          <w:color w:val="auto"/>
          <w:sz w:val="28"/>
          <w:szCs w:val="28"/>
        </w:rPr>
        <w:lastRenderedPageBreak/>
        <w:t xml:space="preserve">регулирования; блок-бокс аппаратурный замерной установки; производственный корпус: шкаф </w:t>
      </w:r>
      <w:proofErr w:type="spellStart"/>
      <w:r w:rsidRPr="0087676C">
        <w:rPr>
          <w:color w:val="auto"/>
          <w:sz w:val="28"/>
          <w:szCs w:val="28"/>
        </w:rPr>
        <w:t>пр</w:t>
      </w:r>
      <w:proofErr w:type="spellEnd"/>
      <w:r w:rsidRPr="0087676C">
        <w:rPr>
          <w:color w:val="auto"/>
          <w:sz w:val="28"/>
          <w:szCs w:val="28"/>
        </w:rPr>
        <w:t xml:space="preserve"> 160а 2гр 2*160), которое используется обществом для собственных нужд, не для передачи электроэнергии третьим лицам, а также часть объектов не имеет отношения к передаче электрической энергии "транзитом" третьим лицам, подключенным к электросетям общества.</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Решением суда, оставленным без изменения апелляционным судом, заявленные налогоплательщиков требования, в том числе в части доначисления налога, удовлетворены.</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Суд округа, не согласившись с выводами нижестоящих инстанций, принятые по делу судебные акты отменил, в удовлетворении заявленных требований, в том числе в части доначисления налога, отказал.</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 xml:space="preserve">Как отмечено судом кассационной инстанции, при постановке вывода о наличии у налогоплательщика права на применение пониженной ставки обложения налогом (пункт 3 статьи 380 Кодекса в редакции, действовавшей в спорный период) в отношении ряда линий </w:t>
      </w:r>
      <w:proofErr w:type="spellStart"/>
      <w:r w:rsidRPr="0087676C">
        <w:rPr>
          <w:color w:val="auto"/>
          <w:sz w:val="28"/>
          <w:szCs w:val="28"/>
        </w:rPr>
        <w:t>энергопередачи</w:t>
      </w:r>
      <w:proofErr w:type="spellEnd"/>
      <w:r w:rsidRPr="0087676C">
        <w:rPr>
          <w:color w:val="auto"/>
          <w:sz w:val="28"/>
          <w:szCs w:val="28"/>
        </w:rPr>
        <w:t xml:space="preserve"> и сооружениям, являющихся их неотъемлемой частью, расположенных в границах энергохозяйства общества, суды обеих инстанций исходили из того, что спорные объекты функционально предназначены для передачи электроэнергии, как для собственных нужд, так и третьим лицам, и использовались для целей передачи электроэнергии; отсутствие у налогоплательщика статуса территориальной сетевой организации не означает отсутствие факта передачи электроэнергии через его электросети третьим лицам.</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Суд округа не согласился с данным выводом с учетом того, что обществом не осуществлялась деятельность с использованием спорного имущества по передаче электрической энергии в понятии, определенном Федеральным законом от 26.03.2003 № 35-ФЗ «Об электроэнергетике», а именно не оказывались услуг по передаче электрической энергии, подлежащие государственному ценовому регулированию.</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Учитывая, что спорная налоговая льгота по налогу в отношении линий электропередачи исходя из экономико-правового значения и целевой направленности может быть предоставлена только организациям, осуществляющим экономическую деятельность в сфере электроэнергетики и на балансе которых учитываются электрические сети и иные объекты электросетевого хозяйства, осуществляющие экономическую деятельность в сфере электроэнергетики, транспортировки энергии и входящие в единую национальную (общероссийскую) электрическую сеть, суд округа отметил, что налоговым органом, вопреки выводам судов, обоснованно было отказано налогоплательщику в применении рассматриваемой налоговой преференции.</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Указанный правовой подход изложен также в определении Верховного Суда от 23.10.2020 № 309-ЭС19-19404.</w:t>
      </w:r>
    </w:p>
    <w:p w:rsidR="0087676C" w:rsidRPr="0087676C" w:rsidRDefault="0087676C" w:rsidP="0087676C">
      <w:pPr>
        <w:pStyle w:val="Default"/>
        <w:spacing w:line="340" w:lineRule="atLeast"/>
        <w:ind w:firstLine="567"/>
        <w:jc w:val="both"/>
        <w:rPr>
          <w:color w:val="auto"/>
          <w:sz w:val="28"/>
          <w:szCs w:val="28"/>
        </w:rPr>
      </w:pPr>
      <w:r w:rsidRPr="0087676C">
        <w:rPr>
          <w:color w:val="auto"/>
          <w:sz w:val="28"/>
          <w:szCs w:val="28"/>
        </w:rPr>
        <w:t>Определением Верховного Суда от 04.12.2023 № 309-ЭС23-23156 обществу отказано в передаче кассационной жалобы для рассмотрения в судебном заседании Судебной коллегии по экономическим спорам.</w:t>
      </w:r>
    </w:p>
    <w:sectPr w:rsidR="0087676C" w:rsidRPr="0087676C" w:rsidSect="00F778BE">
      <w:headerReference w:type="even" r:id="rId8"/>
      <w:headerReference w:type="default" r:id="rId9"/>
      <w:footerReference w:type="default" r:id="rId10"/>
      <w:pgSz w:w="11906" w:h="16838" w:code="9"/>
      <w:pgMar w:top="709" w:right="567" w:bottom="993" w:left="1134" w:header="720" w:footer="3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34" w:rsidRDefault="00751234">
      <w:pPr>
        <w:spacing w:after="0" w:line="240" w:lineRule="auto"/>
      </w:pPr>
      <w:r>
        <w:separator/>
      </w:r>
    </w:p>
  </w:endnote>
  <w:endnote w:type="continuationSeparator" w:id="0">
    <w:p w:rsidR="00751234" w:rsidRDefault="007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9C" w:rsidRDefault="00A66B9C" w:rsidP="003775EF">
    <w:pPr>
      <w:pStyle w:val="a3"/>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A66B9C" w:rsidRPr="00525C59" w:rsidRDefault="00A66B9C" w:rsidP="003775EF">
    <w:pPr>
      <w:pStyle w:val="a3"/>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34" w:rsidRDefault="00751234">
      <w:pPr>
        <w:spacing w:after="0" w:line="240" w:lineRule="auto"/>
      </w:pPr>
      <w:r>
        <w:separator/>
      </w:r>
    </w:p>
  </w:footnote>
  <w:footnote w:type="continuationSeparator" w:id="0">
    <w:p w:rsidR="00751234" w:rsidRDefault="0075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9C" w:rsidRDefault="00A66B9C" w:rsidP="003775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A66B9C" w:rsidRDefault="00A66B9C" w:rsidP="003775E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9C" w:rsidRPr="003669A5" w:rsidRDefault="00A66B9C">
    <w:pPr>
      <w:pStyle w:val="a5"/>
      <w:jc w:val="center"/>
      <w:rPr>
        <w:rFonts w:ascii="Times New Roman" w:hAnsi="Times New Roman" w:cs="Times New Roman"/>
        <w:sz w:val="24"/>
      </w:rPr>
    </w:pPr>
    <w:r w:rsidRPr="003669A5">
      <w:rPr>
        <w:rFonts w:ascii="Times New Roman" w:hAnsi="Times New Roman" w:cs="Times New Roman"/>
        <w:sz w:val="24"/>
      </w:rPr>
      <w:fldChar w:fldCharType="begin"/>
    </w:r>
    <w:r w:rsidRPr="003669A5">
      <w:rPr>
        <w:rFonts w:ascii="Times New Roman" w:hAnsi="Times New Roman" w:cs="Times New Roman"/>
        <w:sz w:val="24"/>
      </w:rPr>
      <w:instrText>PAGE   \* MERGEFORMAT</w:instrText>
    </w:r>
    <w:r w:rsidRPr="003669A5">
      <w:rPr>
        <w:rFonts w:ascii="Times New Roman" w:hAnsi="Times New Roman" w:cs="Times New Roman"/>
        <w:sz w:val="24"/>
      </w:rPr>
      <w:fldChar w:fldCharType="separate"/>
    </w:r>
    <w:r w:rsidR="0087676C">
      <w:rPr>
        <w:rFonts w:ascii="Times New Roman" w:hAnsi="Times New Roman" w:cs="Times New Roman"/>
        <w:noProof/>
        <w:sz w:val="24"/>
      </w:rPr>
      <w:t>13</w:t>
    </w:r>
    <w:r w:rsidRPr="003669A5">
      <w:rPr>
        <w:rFonts w:ascii="Times New Roman" w:hAnsi="Times New Roman" w:cs="Times New Roman"/>
        <w:sz w:val="24"/>
      </w:rPr>
      <w:fldChar w:fldCharType="end"/>
    </w:r>
  </w:p>
  <w:p w:rsidR="00A66B9C" w:rsidRDefault="00A66B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03416"/>
    <w:multiLevelType w:val="hybridMultilevel"/>
    <w:tmpl w:val="7846732A"/>
    <w:lvl w:ilvl="0" w:tplc="CA721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5B"/>
    <w:rsid w:val="000057EE"/>
    <w:rsid w:val="000105D7"/>
    <w:rsid w:val="00012A60"/>
    <w:rsid w:val="000276D0"/>
    <w:rsid w:val="00033BA9"/>
    <w:rsid w:val="00035568"/>
    <w:rsid w:val="0004046B"/>
    <w:rsid w:val="00051BFE"/>
    <w:rsid w:val="000577C4"/>
    <w:rsid w:val="00060DF3"/>
    <w:rsid w:val="00062707"/>
    <w:rsid w:val="00066216"/>
    <w:rsid w:val="000705C8"/>
    <w:rsid w:val="0007747B"/>
    <w:rsid w:val="0008265B"/>
    <w:rsid w:val="000847AF"/>
    <w:rsid w:val="00085F94"/>
    <w:rsid w:val="00095965"/>
    <w:rsid w:val="000B7FB4"/>
    <w:rsid w:val="000C2413"/>
    <w:rsid w:val="000C318D"/>
    <w:rsid w:val="000C53F4"/>
    <w:rsid w:val="000C6177"/>
    <w:rsid w:val="000C6D55"/>
    <w:rsid w:val="000C7877"/>
    <w:rsid w:val="000F1850"/>
    <w:rsid w:val="000F4657"/>
    <w:rsid w:val="000F6CEE"/>
    <w:rsid w:val="00110C57"/>
    <w:rsid w:val="00117784"/>
    <w:rsid w:val="0012698C"/>
    <w:rsid w:val="00126E0B"/>
    <w:rsid w:val="00126F6A"/>
    <w:rsid w:val="001357B4"/>
    <w:rsid w:val="00141867"/>
    <w:rsid w:val="00143352"/>
    <w:rsid w:val="001433AB"/>
    <w:rsid w:val="00147E3F"/>
    <w:rsid w:val="00162130"/>
    <w:rsid w:val="00165419"/>
    <w:rsid w:val="00165B43"/>
    <w:rsid w:val="00176188"/>
    <w:rsid w:val="00184DD2"/>
    <w:rsid w:val="001935B1"/>
    <w:rsid w:val="001A25CA"/>
    <w:rsid w:val="001A3DC3"/>
    <w:rsid w:val="001A4CC3"/>
    <w:rsid w:val="001A65D0"/>
    <w:rsid w:val="001B412B"/>
    <w:rsid w:val="001C3BB5"/>
    <w:rsid w:val="001C78CC"/>
    <w:rsid w:val="001D381E"/>
    <w:rsid w:val="001D629D"/>
    <w:rsid w:val="002161F1"/>
    <w:rsid w:val="002202D1"/>
    <w:rsid w:val="00224C83"/>
    <w:rsid w:val="002305B9"/>
    <w:rsid w:val="002328DA"/>
    <w:rsid w:val="0023744F"/>
    <w:rsid w:val="00240A22"/>
    <w:rsid w:val="00241E5B"/>
    <w:rsid w:val="002477E9"/>
    <w:rsid w:val="00253A49"/>
    <w:rsid w:val="00267B90"/>
    <w:rsid w:val="00272744"/>
    <w:rsid w:val="00284577"/>
    <w:rsid w:val="00295208"/>
    <w:rsid w:val="002A073C"/>
    <w:rsid w:val="002A5927"/>
    <w:rsid w:val="002B0612"/>
    <w:rsid w:val="002B755E"/>
    <w:rsid w:val="002C578A"/>
    <w:rsid w:val="002D1A14"/>
    <w:rsid w:val="002D68CD"/>
    <w:rsid w:val="002D702E"/>
    <w:rsid w:val="002E10D3"/>
    <w:rsid w:val="002E2C05"/>
    <w:rsid w:val="002E523B"/>
    <w:rsid w:val="002E7BFD"/>
    <w:rsid w:val="002E7F4E"/>
    <w:rsid w:val="002F1F1D"/>
    <w:rsid w:val="003106E9"/>
    <w:rsid w:val="00324247"/>
    <w:rsid w:val="00345BF7"/>
    <w:rsid w:val="00355CA6"/>
    <w:rsid w:val="003654D1"/>
    <w:rsid w:val="0036678A"/>
    <w:rsid w:val="003775EF"/>
    <w:rsid w:val="00382860"/>
    <w:rsid w:val="0039166F"/>
    <w:rsid w:val="00391875"/>
    <w:rsid w:val="00391E0D"/>
    <w:rsid w:val="003964C7"/>
    <w:rsid w:val="003B7C58"/>
    <w:rsid w:val="003C3AD9"/>
    <w:rsid w:val="003D5F42"/>
    <w:rsid w:val="003E6F23"/>
    <w:rsid w:val="00402E0F"/>
    <w:rsid w:val="004061EC"/>
    <w:rsid w:val="0041163E"/>
    <w:rsid w:val="00421C8D"/>
    <w:rsid w:val="00421CC2"/>
    <w:rsid w:val="0043030E"/>
    <w:rsid w:val="0043411F"/>
    <w:rsid w:val="00435435"/>
    <w:rsid w:val="004376ED"/>
    <w:rsid w:val="004414F8"/>
    <w:rsid w:val="0044349B"/>
    <w:rsid w:val="0045149A"/>
    <w:rsid w:val="004607B0"/>
    <w:rsid w:val="00461764"/>
    <w:rsid w:val="0046178D"/>
    <w:rsid w:val="00471AFA"/>
    <w:rsid w:val="00471EBE"/>
    <w:rsid w:val="00474614"/>
    <w:rsid w:val="00481B04"/>
    <w:rsid w:val="00490586"/>
    <w:rsid w:val="004A6D72"/>
    <w:rsid w:val="004C4645"/>
    <w:rsid w:val="004E1E1C"/>
    <w:rsid w:val="004E6E48"/>
    <w:rsid w:val="004F19E7"/>
    <w:rsid w:val="005028E2"/>
    <w:rsid w:val="0050484F"/>
    <w:rsid w:val="005146D6"/>
    <w:rsid w:val="00530B63"/>
    <w:rsid w:val="005328B3"/>
    <w:rsid w:val="00534D64"/>
    <w:rsid w:val="0054075F"/>
    <w:rsid w:val="005407A6"/>
    <w:rsid w:val="0054551F"/>
    <w:rsid w:val="005478A7"/>
    <w:rsid w:val="005502C5"/>
    <w:rsid w:val="005507D2"/>
    <w:rsid w:val="005516B1"/>
    <w:rsid w:val="00554832"/>
    <w:rsid w:val="00555F27"/>
    <w:rsid w:val="005647F9"/>
    <w:rsid w:val="00565E94"/>
    <w:rsid w:val="0056620A"/>
    <w:rsid w:val="00572DA0"/>
    <w:rsid w:val="0058197E"/>
    <w:rsid w:val="00584676"/>
    <w:rsid w:val="00590F12"/>
    <w:rsid w:val="0059273E"/>
    <w:rsid w:val="00596F98"/>
    <w:rsid w:val="005A429E"/>
    <w:rsid w:val="005A7D92"/>
    <w:rsid w:val="005B3F85"/>
    <w:rsid w:val="005B6956"/>
    <w:rsid w:val="005C3215"/>
    <w:rsid w:val="005C68F9"/>
    <w:rsid w:val="005D4F3D"/>
    <w:rsid w:val="005D5749"/>
    <w:rsid w:val="005E55EC"/>
    <w:rsid w:val="005E566B"/>
    <w:rsid w:val="005F3186"/>
    <w:rsid w:val="005F32C5"/>
    <w:rsid w:val="005F647B"/>
    <w:rsid w:val="006015DB"/>
    <w:rsid w:val="00616553"/>
    <w:rsid w:val="0062196B"/>
    <w:rsid w:val="00631C7E"/>
    <w:rsid w:val="006335DB"/>
    <w:rsid w:val="00637623"/>
    <w:rsid w:val="00643102"/>
    <w:rsid w:val="006474B6"/>
    <w:rsid w:val="006579E6"/>
    <w:rsid w:val="006613A4"/>
    <w:rsid w:val="00677486"/>
    <w:rsid w:val="006862B6"/>
    <w:rsid w:val="006A7458"/>
    <w:rsid w:val="006A79A6"/>
    <w:rsid w:val="006B52CD"/>
    <w:rsid w:val="006C2AAB"/>
    <w:rsid w:val="006D2897"/>
    <w:rsid w:val="006D796E"/>
    <w:rsid w:val="006E171C"/>
    <w:rsid w:val="006E6CF9"/>
    <w:rsid w:val="006F44F3"/>
    <w:rsid w:val="006F592D"/>
    <w:rsid w:val="0070010E"/>
    <w:rsid w:val="007101DB"/>
    <w:rsid w:val="00731D4A"/>
    <w:rsid w:val="0073396E"/>
    <w:rsid w:val="00735401"/>
    <w:rsid w:val="00742333"/>
    <w:rsid w:val="0074310B"/>
    <w:rsid w:val="00743873"/>
    <w:rsid w:val="007459DE"/>
    <w:rsid w:val="00745BF4"/>
    <w:rsid w:val="00746120"/>
    <w:rsid w:val="007476D3"/>
    <w:rsid w:val="00750C49"/>
    <w:rsid w:val="00751234"/>
    <w:rsid w:val="0076161F"/>
    <w:rsid w:val="00775DAD"/>
    <w:rsid w:val="00776072"/>
    <w:rsid w:val="007929E3"/>
    <w:rsid w:val="007A423E"/>
    <w:rsid w:val="007A5FE3"/>
    <w:rsid w:val="007A66FA"/>
    <w:rsid w:val="007B1934"/>
    <w:rsid w:val="007B6853"/>
    <w:rsid w:val="007B6B69"/>
    <w:rsid w:val="007B71D4"/>
    <w:rsid w:val="007B7762"/>
    <w:rsid w:val="007C272C"/>
    <w:rsid w:val="007C3F89"/>
    <w:rsid w:val="007D1218"/>
    <w:rsid w:val="007D719F"/>
    <w:rsid w:val="007E3512"/>
    <w:rsid w:val="007F5C8C"/>
    <w:rsid w:val="00803677"/>
    <w:rsid w:val="00804962"/>
    <w:rsid w:val="00810911"/>
    <w:rsid w:val="0081694F"/>
    <w:rsid w:val="00825B96"/>
    <w:rsid w:val="00826750"/>
    <w:rsid w:val="00832151"/>
    <w:rsid w:val="00834588"/>
    <w:rsid w:val="00834E96"/>
    <w:rsid w:val="00842454"/>
    <w:rsid w:val="0084718A"/>
    <w:rsid w:val="00852872"/>
    <w:rsid w:val="00854617"/>
    <w:rsid w:val="00855B9D"/>
    <w:rsid w:val="0087676C"/>
    <w:rsid w:val="008900AD"/>
    <w:rsid w:val="00890949"/>
    <w:rsid w:val="008931B9"/>
    <w:rsid w:val="00897361"/>
    <w:rsid w:val="008A10B8"/>
    <w:rsid w:val="008A1A08"/>
    <w:rsid w:val="008A4A17"/>
    <w:rsid w:val="008B1CB9"/>
    <w:rsid w:val="008B2A89"/>
    <w:rsid w:val="008B3E61"/>
    <w:rsid w:val="008B6915"/>
    <w:rsid w:val="008C2308"/>
    <w:rsid w:val="008D09FD"/>
    <w:rsid w:val="008D0D8A"/>
    <w:rsid w:val="008E477E"/>
    <w:rsid w:val="008F4638"/>
    <w:rsid w:val="008F7859"/>
    <w:rsid w:val="00900E33"/>
    <w:rsid w:val="00907ACA"/>
    <w:rsid w:val="0092167A"/>
    <w:rsid w:val="00923902"/>
    <w:rsid w:val="00930E66"/>
    <w:rsid w:val="00930F7D"/>
    <w:rsid w:val="009336BA"/>
    <w:rsid w:val="009508C8"/>
    <w:rsid w:val="00962A44"/>
    <w:rsid w:val="00962ED5"/>
    <w:rsid w:val="00972922"/>
    <w:rsid w:val="00982475"/>
    <w:rsid w:val="0098742D"/>
    <w:rsid w:val="009B7050"/>
    <w:rsid w:val="009C1AC8"/>
    <w:rsid w:val="00A06DF8"/>
    <w:rsid w:val="00A11BB9"/>
    <w:rsid w:val="00A1538B"/>
    <w:rsid w:val="00A165EC"/>
    <w:rsid w:val="00A34AC1"/>
    <w:rsid w:val="00A35BDF"/>
    <w:rsid w:val="00A4289E"/>
    <w:rsid w:val="00A446C3"/>
    <w:rsid w:val="00A45444"/>
    <w:rsid w:val="00A66B9C"/>
    <w:rsid w:val="00A8486E"/>
    <w:rsid w:val="00A84D2F"/>
    <w:rsid w:val="00A91EE2"/>
    <w:rsid w:val="00A938E4"/>
    <w:rsid w:val="00A94920"/>
    <w:rsid w:val="00AA40BD"/>
    <w:rsid w:val="00AA6A85"/>
    <w:rsid w:val="00AB0C50"/>
    <w:rsid w:val="00AC3A51"/>
    <w:rsid w:val="00AC77F6"/>
    <w:rsid w:val="00AE5A63"/>
    <w:rsid w:val="00AF5C80"/>
    <w:rsid w:val="00AF64BE"/>
    <w:rsid w:val="00B025E2"/>
    <w:rsid w:val="00B05F93"/>
    <w:rsid w:val="00B12262"/>
    <w:rsid w:val="00B20255"/>
    <w:rsid w:val="00B44AE5"/>
    <w:rsid w:val="00B547AA"/>
    <w:rsid w:val="00B61E34"/>
    <w:rsid w:val="00B70BFD"/>
    <w:rsid w:val="00B71BA2"/>
    <w:rsid w:val="00B87F5A"/>
    <w:rsid w:val="00B90377"/>
    <w:rsid w:val="00B93AA2"/>
    <w:rsid w:val="00B9532F"/>
    <w:rsid w:val="00BA2449"/>
    <w:rsid w:val="00BB35C0"/>
    <w:rsid w:val="00BB5043"/>
    <w:rsid w:val="00BB7CC9"/>
    <w:rsid w:val="00BC4437"/>
    <w:rsid w:val="00BD64E4"/>
    <w:rsid w:val="00BE261D"/>
    <w:rsid w:val="00BE383E"/>
    <w:rsid w:val="00BE5772"/>
    <w:rsid w:val="00BE5FB7"/>
    <w:rsid w:val="00BF649E"/>
    <w:rsid w:val="00C01018"/>
    <w:rsid w:val="00C044FC"/>
    <w:rsid w:val="00C23232"/>
    <w:rsid w:val="00C3405B"/>
    <w:rsid w:val="00C41A67"/>
    <w:rsid w:val="00C475D0"/>
    <w:rsid w:val="00C52168"/>
    <w:rsid w:val="00C525F7"/>
    <w:rsid w:val="00C631F0"/>
    <w:rsid w:val="00C6427C"/>
    <w:rsid w:val="00C6490B"/>
    <w:rsid w:val="00C80A99"/>
    <w:rsid w:val="00C859C5"/>
    <w:rsid w:val="00C97788"/>
    <w:rsid w:val="00C97C98"/>
    <w:rsid w:val="00CA6359"/>
    <w:rsid w:val="00CB3370"/>
    <w:rsid w:val="00CB343A"/>
    <w:rsid w:val="00CC1829"/>
    <w:rsid w:val="00CD0B6C"/>
    <w:rsid w:val="00CD1764"/>
    <w:rsid w:val="00CD2E98"/>
    <w:rsid w:val="00CD6279"/>
    <w:rsid w:val="00CE24A2"/>
    <w:rsid w:val="00CE330D"/>
    <w:rsid w:val="00CE73C3"/>
    <w:rsid w:val="00CF43C5"/>
    <w:rsid w:val="00CF745A"/>
    <w:rsid w:val="00D0322E"/>
    <w:rsid w:val="00D04B8A"/>
    <w:rsid w:val="00D04FC9"/>
    <w:rsid w:val="00D276D2"/>
    <w:rsid w:val="00D2770B"/>
    <w:rsid w:val="00D30886"/>
    <w:rsid w:val="00D319BF"/>
    <w:rsid w:val="00D42811"/>
    <w:rsid w:val="00D549E6"/>
    <w:rsid w:val="00D55328"/>
    <w:rsid w:val="00D61003"/>
    <w:rsid w:val="00D803EF"/>
    <w:rsid w:val="00D85533"/>
    <w:rsid w:val="00D864BF"/>
    <w:rsid w:val="00D95779"/>
    <w:rsid w:val="00DB1EC7"/>
    <w:rsid w:val="00DB2E48"/>
    <w:rsid w:val="00DC17D7"/>
    <w:rsid w:val="00DC3F16"/>
    <w:rsid w:val="00DC44DA"/>
    <w:rsid w:val="00DC4E6F"/>
    <w:rsid w:val="00DD41A7"/>
    <w:rsid w:val="00DF3F9E"/>
    <w:rsid w:val="00DF4FA8"/>
    <w:rsid w:val="00DF5F1C"/>
    <w:rsid w:val="00DF5FD5"/>
    <w:rsid w:val="00DF7A83"/>
    <w:rsid w:val="00E01EC3"/>
    <w:rsid w:val="00E15ABF"/>
    <w:rsid w:val="00E35D35"/>
    <w:rsid w:val="00E35FA7"/>
    <w:rsid w:val="00E421A5"/>
    <w:rsid w:val="00E44A75"/>
    <w:rsid w:val="00E54CB1"/>
    <w:rsid w:val="00E62590"/>
    <w:rsid w:val="00E67C4F"/>
    <w:rsid w:val="00E7157E"/>
    <w:rsid w:val="00E73A5A"/>
    <w:rsid w:val="00E8457A"/>
    <w:rsid w:val="00E9321D"/>
    <w:rsid w:val="00EA015E"/>
    <w:rsid w:val="00EA32AE"/>
    <w:rsid w:val="00EA34B4"/>
    <w:rsid w:val="00EA582D"/>
    <w:rsid w:val="00EA5BB4"/>
    <w:rsid w:val="00EA618A"/>
    <w:rsid w:val="00EA6561"/>
    <w:rsid w:val="00EA76D2"/>
    <w:rsid w:val="00ED6365"/>
    <w:rsid w:val="00EE1FAE"/>
    <w:rsid w:val="00EE2EE9"/>
    <w:rsid w:val="00EE62D1"/>
    <w:rsid w:val="00F00150"/>
    <w:rsid w:val="00F00CED"/>
    <w:rsid w:val="00F030A5"/>
    <w:rsid w:val="00F13A4C"/>
    <w:rsid w:val="00F31850"/>
    <w:rsid w:val="00F35114"/>
    <w:rsid w:val="00F35AA0"/>
    <w:rsid w:val="00F362C4"/>
    <w:rsid w:val="00F36907"/>
    <w:rsid w:val="00F42A20"/>
    <w:rsid w:val="00F43F83"/>
    <w:rsid w:val="00F4572F"/>
    <w:rsid w:val="00F711B1"/>
    <w:rsid w:val="00F71C23"/>
    <w:rsid w:val="00F7417C"/>
    <w:rsid w:val="00F778BE"/>
    <w:rsid w:val="00F856F4"/>
    <w:rsid w:val="00F85E53"/>
    <w:rsid w:val="00FA0C0E"/>
    <w:rsid w:val="00FA17BE"/>
    <w:rsid w:val="00FA7F04"/>
    <w:rsid w:val="00FB3792"/>
    <w:rsid w:val="00FC0268"/>
    <w:rsid w:val="00FC1D58"/>
    <w:rsid w:val="00FC610B"/>
    <w:rsid w:val="00FD2505"/>
    <w:rsid w:val="00FD55CC"/>
    <w:rsid w:val="00FD6687"/>
    <w:rsid w:val="00FE43AB"/>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D5D1-B93B-4210-AE10-BF12158A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1E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1E5B"/>
  </w:style>
  <w:style w:type="paragraph" w:styleId="a5">
    <w:name w:val="header"/>
    <w:basedOn w:val="a"/>
    <w:link w:val="a6"/>
    <w:uiPriority w:val="99"/>
    <w:unhideWhenUsed/>
    <w:rsid w:val="00241E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E5B"/>
  </w:style>
  <w:style w:type="character" w:styleId="a7">
    <w:name w:val="page number"/>
    <w:basedOn w:val="a0"/>
    <w:rsid w:val="00241E5B"/>
  </w:style>
  <w:style w:type="paragraph" w:styleId="a8">
    <w:name w:val="Balloon Text"/>
    <w:basedOn w:val="a"/>
    <w:link w:val="a9"/>
    <w:uiPriority w:val="99"/>
    <w:semiHidden/>
    <w:unhideWhenUsed/>
    <w:rsid w:val="00775D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DAD"/>
    <w:rPr>
      <w:rFonts w:ascii="Tahoma" w:hAnsi="Tahoma" w:cs="Tahoma"/>
      <w:sz w:val="16"/>
      <w:szCs w:val="16"/>
    </w:rPr>
  </w:style>
  <w:style w:type="paragraph" w:customStyle="1" w:styleId="Default">
    <w:name w:val="Default"/>
    <w:rsid w:val="00AE5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3B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9F1A-FDA9-45A9-A3D5-80AF565C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Мкртумян Артём Рубенович</dc:creator>
  <cp:lastModifiedBy>Дорофейкин Александр Сергеевич</cp:lastModifiedBy>
  <cp:revision>2</cp:revision>
  <cp:lastPrinted>2023-01-27T08:06:00Z</cp:lastPrinted>
  <dcterms:created xsi:type="dcterms:W3CDTF">2024-02-08T06:50:00Z</dcterms:created>
  <dcterms:modified xsi:type="dcterms:W3CDTF">2024-02-08T06:50:00Z</dcterms:modified>
</cp:coreProperties>
</file>